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7C0F6" w14:textId="77777777" w:rsidR="00C70501" w:rsidRDefault="00C70501" w:rsidP="00F20CC7"/>
    <w:p w14:paraId="6E6903CE" w14:textId="65F7B5F1" w:rsidR="003D05B2" w:rsidRPr="00C74DFC" w:rsidRDefault="00F20CC7" w:rsidP="00AF422B">
      <w:pPr>
        <w:jc w:val="center"/>
        <w:rPr>
          <w:b/>
          <w:bCs/>
          <w:lang w:val="en-US"/>
        </w:rPr>
      </w:pPr>
      <w:r w:rsidRPr="00C74DFC">
        <w:rPr>
          <w:b/>
          <w:bCs/>
        </w:rPr>
        <w:t xml:space="preserve">Nghiên cứu vai trò của các chỉ số thành phần PCI </w:t>
      </w:r>
      <w:r w:rsidRPr="00C74DFC">
        <w:rPr>
          <w:b/>
          <w:bCs/>
          <w:lang w:val="vi-VN"/>
        </w:rPr>
        <w:t>(chỉ số năng lực cạnh tranh cấp tỉnh) đối với tăng trưởng</w:t>
      </w:r>
      <w:r w:rsidRPr="00C74DFC">
        <w:rPr>
          <w:b/>
          <w:bCs/>
          <w:lang w:val="en-US"/>
        </w:rPr>
        <w:t xml:space="preserve"> kinh tế bằng tiếp cận phân tích Importance-Performance </w:t>
      </w:r>
      <w:r w:rsidR="00AF422B">
        <w:rPr>
          <w:b/>
          <w:bCs/>
          <w:lang w:val="en-US"/>
        </w:rPr>
        <w:t>Matrix</w:t>
      </w:r>
    </w:p>
    <w:p w14:paraId="0E33C7C3" w14:textId="74C560AE" w:rsidR="00F20CC7" w:rsidRDefault="00C70501" w:rsidP="00F20CC7">
      <w:pPr>
        <w:rPr>
          <w:lang w:val="en-US"/>
        </w:rPr>
      </w:pPr>
      <w:r>
        <w:rPr>
          <w:lang w:val="en-US"/>
        </w:rPr>
        <w:t>Đoàn Hồ Đan Tâm, Nguyễn Lê Hoàng Thụy Tố Quyên, …</w:t>
      </w:r>
    </w:p>
    <w:p w14:paraId="531AF549" w14:textId="448F21A6" w:rsidR="00C70501" w:rsidRDefault="0011233D" w:rsidP="00F20CC7">
      <w:pPr>
        <w:rPr>
          <w:lang w:val="en-US"/>
        </w:rPr>
      </w:pPr>
      <w:r>
        <w:rPr>
          <w:lang w:val="en-US"/>
        </w:rPr>
        <w:t>Abstract</w:t>
      </w:r>
    </w:p>
    <w:p w14:paraId="420ABF29" w14:textId="2173CEDB" w:rsidR="0011233D" w:rsidRDefault="0011233D" w:rsidP="00F20CC7">
      <w:pPr>
        <w:rPr>
          <w:lang w:val="en-US"/>
        </w:rPr>
      </w:pPr>
      <w:r>
        <w:rPr>
          <w:lang w:val="en-US"/>
        </w:rPr>
        <w:tab/>
        <w:t xml:space="preserve">Thể chế là một trong những </w:t>
      </w:r>
      <w:r w:rsidR="00754201">
        <w:rPr>
          <w:lang w:val="en-US"/>
        </w:rPr>
        <w:t xml:space="preserve">chủ đề trong lý thuyết tăng trưởng hiện đại. Trên phương diện thực nghiệm, thể chế sẽ được xem xét, đo lường bằng các chỉ tiêu, các khía cạnh cụ thể. Một trong những tiếp cận gần đây là xem xét tác động của quản trị kinh tế đến tăng trưởng, mà PCI là một hệ thống các chỉ số để đo lường khía cạnh này tại Việt Nam. Bài nghiên cứu này sử dụng bộ dữ liệu PCI của Việt Nam trong giai đoạn </w:t>
      </w:r>
      <w:r w:rsidR="007820D1">
        <w:rPr>
          <w:lang w:val="en-US"/>
        </w:rPr>
        <w:t xml:space="preserve">2017-2020, với phương pháp EFA, PLS-SEM, và IPM để xem xét tác động của các chỉ số thành phần chi tiết đến tăng trưởng kinh tế. Kết quả xác định 5 </w:t>
      </w:r>
      <w:r w:rsidR="00AF422B">
        <w:rPr>
          <w:lang w:val="en-US"/>
        </w:rPr>
        <w:t xml:space="preserve">yếu tố </w:t>
      </w:r>
      <w:r w:rsidR="007820D1">
        <w:rPr>
          <w:lang w:val="en-US"/>
        </w:rPr>
        <w:t xml:space="preserve">có tác động đến tăng trưởng. </w:t>
      </w:r>
      <w:r w:rsidR="003F0938">
        <w:rPr>
          <w:lang w:val="en-US"/>
        </w:rPr>
        <w:t xml:space="preserve">Quan trọng hơn, có sự khác biệt giữa tầm quan trọng và thực trạng hiện nay về các yếu tố này. Kết quả cho </w:t>
      </w:r>
      <w:r w:rsidR="00AF422B">
        <w:rPr>
          <w:lang w:val="en-US"/>
        </w:rPr>
        <w:t>thấy yếu tố Luật pháp và Quy định có tầm quan trọng cao nhất, nhưng hiện đang có mức thực hiện trung bình, trong khi đó yếu tố Tính năng động của chính quyền địa phương hiện đang có mức thực hiện cao, trong khi đây không phải là yếu tố quan trọng nhất. Các kết quả này có những hàm ý đáng tham khảo cho các địa phương trong chiến lược cải thiện PCI của mình.</w:t>
      </w:r>
    </w:p>
    <w:p w14:paraId="7D85A0B2" w14:textId="16331BA3" w:rsidR="005D5038" w:rsidRDefault="00ED05F6" w:rsidP="00F20CC7">
      <w:pPr>
        <w:rPr>
          <w:lang w:val="en-US"/>
        </w:rPr>
      </w:pPr>
      <w:r w:rsidRPr="00AF422B">
        <w:rPr>
          <w:i/>
          <w:iCs/>
          <w:lang w:val="en-US"/>
        </w:rPr>
        <w:t>Keywords</w:t>
      </w:r>
      <w:r>
        <w:rPr>
          <w:lang w:val="en-US"/>
        </w:rPr>
        <w:t>: PCI, Quản trị kinh tế, Tăng trưởng</w:t>
      </w:r>
      <w:r w:rsidR="000E18D5">
        <w:rPr>
          <w:lang w:val="en-US"/>
        </w:rPr>
        <w:t>, IPM</w:t>
      </w:r>
    </w:p>
    <w:p w14:paraId="6EA9445D" w14:textId="36220D07" w:rsidR="00C70501" w:rsidRDefault="005D5038" w:rsidP="00C74DFC">
      <w:pPr>
        <w:pStyle w:val="Heading1"/>
        <w:rPr>
          <w:lang w:val="en-US"/>
        </w:rPr>
      </w:pPr>
      <w:r>
        <w:rPr>
          <w:lang w:val="en-US"/>
        </w:rPr>
        <w:t>Mở đầu</w:t>
      </w:r>
    </w:p>
    <w:p w14:paraId="01B4AE18" w14:textId="31D59A96" w:rsidR="0044437E" w:rsidRPr="0030309F" w:rsidRDefault="008F5485" w:rsidP="00E64ABB">
      <w:pPr>
        <w:ind w:firstLine="720"/>
        <w:rPr>
          <w:color w:val="000000"/>
          <w:lang w:val="en-US"/>
        </w:rPr>
      </w:pPr>
      <w:r w:rsidRPr="00625FEE">
        <w:t>Bước sang thế kỷ 21,</w:t>
      </w:r>
      <w:r w:rsidRPr="00625FEE">
        <w:rPr>
          <w:lang w:val="vi-VN"/>
        </w:rPr>
        <w:t xml:space="preserve"> xu thế hội nhập và cạnh tranh của nền kinh tế toàn cầu ngày càng gia tăng. Trong bối cảnh đó, năng lực cạnh tranh kinh tế vĩ mô, cụ thể là môi trường kinh doanh, một trong các yếu tố của lý thuyết cạnh tranh trở thành vấn đề thời sự. Các khảo sát về môi trường kinh doanh của quốc gia trở nên phổ biến và là cơ sở để đánh giá, so sánh triển vọng tăng trưởng kinh tế của mỗi quốc gia.</w:t>
      </w:r>
      <w:r w:rsidR="0044437E">
        <w:rPr>
          <w:lang w:val="en-US"/>
        </w:rPr>
        <w:t xml:space="preserve"> </w:t>
      </w:r>
      <w:r w:rsidR="0044437E" w:rsidRPr="00625FEE">
        <w:rPr>
          <w:lang w:val="vi-VN"/>
        </w:rPr>
        <w:t xml:space="preserve">Cách tiếp cận quản trị kinh tế </w:t>
      </w:r>
      <w:r w:rsidR="0044437E" w:rsidRPr="00625FEE">
        <w:rPr>
          <w:lang w:val="vi-VN"/>
        </w:rPr>
        <w:lastRenderedPageBreak/>
        <w:t xml:space="preserve">(economic governance) là cách tiếp cận chủ đạo, góp phần tạo nên chỉ số năng lực cạnh tranh. Cách tiếp cận này nhấn mạnh mức độ phân quyền của từng địa phương, là cơ sở cho các hoạt động tiếp theo nhằm thúc đẩy việc cải cách môi trường đầu tư nhằm hướng đến mục tiêu tăng trưởng kinh tế địa phương. </w:t>
      </w:r>
      <w:r w:rsidR="0044437E" w:rsidRPr="00625FEE">
        <w:rPr>
          <w:color w:val="000000"/>
        </w:rPr>
        <w:t>Tại Việt Nam,</w:t>
      </w:r>
      <w:r w:rsidR="0044437E" w:rsidRPr="00625FEE">
        <w:rPr>
          <w:color w:val="000000"/>
          <w:lang w:val="vi-VN"/>
        </w:rPr>
        <w:t xml:space="preserve"> PCI được thí điểm lần đầu vào năm 2005, đến nay có 10 chỉ số thành phần. Dựa trên bộ số liệu này, các nghiên cứu về năng lực cấp tỉnh đã được thực hiệ</w:t>
      </w:r>
      <w:r w:rsidR="0030309F">
        <w:rPr>
          <w:color w:val="000000"/>
          <w:lang w:val="en-US"/>
        </w:rPr>
        <w:t>n</w:t>
      </w:r>
      <w:r w:rsidR="00F95DBB">
        <w:rPr>
          <w:color w:val="000000"/>
          <w:lang w:val="en-US"/>
        </w:rPr>
        <w:t xml:space="preserve">, đơn cử như </w:t>
      </w:r>
      <w:r w:rsidR="00F95DBB" w:rsidRPr="00625FEE">
        <w:rPr>
          <w:noProof/>
          <w:color w:val="000000"/>
          <w:lang w:val="vi-VN"/>
        </w:rPr>
        <w:t>Thanh (2011)</w:t>
      </w:r>
      <w:r w:rsidR="00F95DBB">
        <w:rPr>
          <w:color w:val="000000"/>
          <w:lang w:val="en-US"/>
        </w:rPr>
        <w:t xml:space="preserve">, </w:t>
      </w:r>
      <w:r w:rsidR="00F95DBB" w:rsidRPr="00625FEE">
        <w:rPr>
          <w:noProof/>
          <w:lang w:val="vi-VN"/>
        </w:rPr>
        <w:t>Linh &amp; Xuân (2017)</w:t>
      </w:r>
      <w:r w:rsidR="00F95DBB">
        <w:rPr>
          <w:noProof/>
          <w:lang w:val="en-US"/>
        </w:rPr>
        <w:t xml:space="preserve">, </w:t>
      </w:r>
      <w:r w:rsidR="00F95DBB" w:rsidRPr="00625FEE">
        <w:rPr>
          <w:noProof/>
          <w:lang w:val="vi-VN"/>
        </w:rPr>
        <w:t xml:space="preserve">Thuy, Huong, &amp; Cuong (2019) </w:t>
      </w:r>
      <w:r w:rsidR="0030309F">
        <w:rPr>
          <w:color w:val="000000"/>
          <w:lang w:val="en-US"/>
        </w:rPr>
        <w:t xml:space="preserve"> </w:t>
      </w:r>
    </w:p>
    <w:p w14:paraId="0AF86D67" w14:textId="7789B5BF" w:rsidR="00E64ABB" w:rsidRPr="00E64ABB" w:rsidRDefault="0030309F" w:rsidP="00E64ABB">
      <w:pPr>
        <w:pStyle w:val="NormalWeb"/>
        <w:shd w:val="clear" w:color="auto" w:fill="FFFFFF"/>
        <w:spacing w:before="0" w:beforeAutospacing="0" w:after="225" w:afterAutospacing="0" w:line="360" w:lineRule="auto"/>
        <w:ind w:firstLine="720"/>
        <w:rPr>
          <w:color w:val="000000"/>
          <w:sz w:val="26"/>
          <w:szCs w:val="26"/>
        </w:rPr>
      </w:pPr>
      <w:r w:rsidRPr="00E64ABB">
        <w:rPr>
          <w:color w:val="000000"/>
          <w:sz w:val="26"/>
          <w:szCs w:val="26"/>
        </w:rPr>
        <w:t>Nhìn chung, các nghiên cứu liên quan đến vấn đề năng lực cạnh tranh</w:t>
      </w:r>
      <w:r w:rsidRPr="00E64ABB">
        <w:rPr>
          <w:color w:val="000000"/>
          <w:sz w:val="26"/>
          <w:szCs w:val="26"/>
          <w:lang w:val="vi-VN"/>
        </w:rPr>
        <w:t xml:space="preserve"> </w:t>
      </w:r>
      <w:r w:rsidRPr="00E64ABB">
        <w:rPr>
          <w:color w:val="000000"/>
          <w:sz w:val="26"/>
          <w:szCs w:val="26"/>
        </w:rPr>
        <w:t>tập trung tương đối nhiều vào việc phân tích thực trạng năng lực cạnh tranh chung của cả nước hoặc năng lực cạnh tranh cấp tỉnh của các địa phương thông qua chỉ số năng lực cạnh tranh được công bố</w:t>
      </w:r>
      <w:r w:rsidRPr="00E64ABB">
        <w:rPr>
          <w:color w:val="000000"/>
          <w:sz w:val="26"/>
          <w:szCs w:val="26"/>
          <w:lang w:val="vi-VN"/>
        </w:rPr>
        <w:t>,</w:t>
      </w:r>
      <w:r w:rsidRPr="00E64ABB">
        <w:rPr>
          <w:color w:val="000000"/>
          <w:sz w:val="26"/>
          <w:szCs w:val="26"/>
        </w:rPr>
        <w:t xml:space="preserve"> tìm hiểu</w:t>
      </w:r>
      <w:r w:rsidRPr="00E64ABB">
        <w:rPr>
          <w:color w:val="000000"/>
          <w:sz w:val="26"/>
          <w:szCs w:val="26"/>
          <w:lang w:val="vi-VN"/>
        </w:rPr>
        <w:t xml:space="preserve"> vai trò</w:t>
      </w:r>
      <w:r w:rsidRPr="00E64ABB">
        <w:rPr>
          <w:color w:val="000000"/>
          <w:sz w:val="26"/>
          <w:szCs w:val="26"/>
        </w:rPr>
        <w:t xml:space="preserve"> của lực cạnh tranh nhưng chưa có nhiều nghiên cứu tìm hiểu vai trò của từng chỉ số thành phần PCI đối với thành tựu kinh tế của địa phương,</w:t>
      </w:r>
      <w:r w:rsidRPr="00E64ABB">
        <w:rPr>
          <w:color w:val="000000"/>
          <w:sz w:val="26"/>
          <w:szCs w:val="26"/>
          <w:lang w:val="vi-VN"/>
        </w:rPr>
        <w:t xml:space="preserve"> tập trung vào tầm quan trọng và hiệu quả của từng chỉ số thành phần và </w:t>
      </w:r>
      <w:r w:rsidRPr="00E64ABB">
        <w:rPr>
          <w:color w:val="000000"/>
          <w:sz w:val="26"/>
          <w:szCs w:val="26"/>
        </w:rPr>
        <w:t>tìm hiểu nội tại nguyên nhân tại sao năng lực cạnh tranh của địa phương lại có những đánh giá khác nhau.</w:t>
      </w:r>
      <w:r w:rsidRPr="00E64ABB">
        <w:rPr>
          <w:color w:val="000000"/>
          <w:sz w:val="26"/>
          <w:szCs w:val="26"/>
          <w:lang w:val="vi-VN"/>
        </w:rPr>
        <w:t xml:space="preserve"> </w:t>
      </w:r>
      <w:r w:rsidR="009D747E" w:rsidRPr="00E64ABB">
        <w:rPr>
          <w:color w:val="000000"/>
          <w:sz w:val="26"/>
          <w:szCs w:val="26"/>
        </w:rPr>
        <w:t xml:space="preserve">Vì thế, bài nghiên cứu này nhằm phân tích vai trò tác động của các chỉ số thành phần đến tăng trưởng kinh tế </w:t>
      </w:r>
      <w:r w:rsidR="00AD2593" w:rsidRPr="00E64ABB">
        <w:rPr>
          <w:color w:val="000000"/>
          <w:sz w:val="26"/>
          <w:szCs w:val="26"/>
        </w:rPr>
        <w:t xml:space="preserve">thông qua </w:t>
      </w:r>
      <w:r w:rsidR="009D747E" w:rsidRPr="00E64ABB">
        <w:rPr>
          <w:color w:val="000000"/>
          <w:sz w:val="26"/>
          <w:szCs w:val="26"/>
        </w:rPr>
        <w:t xml:space="preserve">bằng cách sử dụng phương pháp PLS-SEM </w:t>
      </w:r>
      <w:r w:rsidR="00AD2593" w:rsidRPr="00E64ABB">
        <w:rPr>
          <w:color w:val="000000"/>
          <w:sz w:val="26"/>
          <w:szCs w:val="26"/>
        </w:rPr>
        <w:t xml:space="preserve">và </w:t>
      </w:r>
      <w:r w:rsidR="009D747E" w:rsidRPr="00E64ABB">
        <w:rPr>
          <w:color w:val="000000"/>
          <w:sz w:val="26"/>
          <w:szCs w:val="26"/>
        </w:rPr>
        <w:t xml:space="preserve"> ma trận Tầm quan trọng-Thực hiện (Importance-Performance Matrix)</w:t>
      </w:r>
      <w:r w:rsidR="00AD2593" w:rsidRPr="00E64ABB">
        <w:rPr>
          <w:color w:val="000000"/>
          <w:sz w:val="26"/>
          <w:szCs w:val="26"/>
        </w:rPr>
        <w:t xml:space="preserve">. </w:t>
      </w:r>
    </w:p>
    <w:p w14:paraId="62728C4F" w14:textId="7A1CF41E" w:rsidR="00AD2593" w:rsidRDefault="00C74DFC" w:rsidP="00E64ABB">
      <w:pPr>
        <w:pStyle w:val="Heading1"/>
      </w:pPr>
      <w:r>
        <w:t>Cơ sở lý thuyết</w:t>
      </w:r>
    </w:p>
    <w:p w14:paraId="5A651187" w14:textId="7BE6AE84" w:rsidR="00314F2A" w:rsidRDefault="00314F2A" w:rsidP="00314F2A">
      <w:pPr>
        <w:pStyle w:val="Heading2"/>
        <w:rPr>
          <w:lang w:val="en-US"/>
        </w:rPr>
      </w:pPr>
      <w:r>
        <w:rPr>
          <w:lang w:val="en-US"/>
        </w:rPr>
        <w:t>Vai trò của quản trị kinh tế đối với tăng trưởng</w:t>
      </w:r>
    </w:p>
    <w:p w14:paraId="0774B0A5" w14:textId="4918E063" w:rsidR="006E3990" w:rsidRDefault="001D0FF4" w:rsidP="006E3990">
      <w:pPr>
        <w:ind w:firstLine="720"/>
        <w:rPr>
          <w:rFonts w:cs="Times New Roman"/>
          <w:szCs w:val="26"/>
          <w:lang w:val="en-US"/>
        </w:rPr>
      </w:pPr>
      <w:r>
        <w:rPr>
          <w:rFonts w:cs="Times New Roman"/>
          <w:szCs w:val="26"/>
          <w:lang w:val="en-US"/>
        </w:rPr>
        <w:t xml:space="preserve">Theo Perkin và các cộng sự (2006), mặc dù mối quan tâm về vấn đề tăng trưởng đã có từ lâu và mặc dù đã có nhiều nỗ lực tìm hiểu cũng như nghiên cứu, người ta vẫn chưa hiểu thấu đáo các yếu tố có tác động đến tăng trưởng kinh tế.  Xét tổng quát, quá trình tăng trưởng sẽ phụ thuộc vào hai thành tố: sự tích tụ của các yếu tố sản xuất (vốn, lao động, đất dai) và việc sử dụng hiệu quả hơn các yếu tố sản xuất. Nhìn chung, các lý thuyết về tăng trưởng kinh tế có thể phân thành hai nhóm: các lý thuyết cổ điển và lý thuyết hiện đại hay lý thuyết mới. Đặc điểm chung của các lý thuyết cổ điển là lý giải nguồn gốc của tăng </w:t>
      </w:r>
      <w:r>
        <w:rPr>
          <w:rFonts w:cs="Times New Roman"/>
          <w:szCs w:val="26"/>
          <w:lang w:val="en-US"/>
        </w:rPr>
        <w:lastRenderedPageBreak/>
        <w:t xml:space="preserve">trưởng kinh tế dựa vào tích tụ nhân tố sản xuất trong khi đó các lý thuyết hiện đại tập trung hơn vào việc sử dụng hiệu quả hơn các nhân tố sản xuất (tr 90). </w:t>
      </w:r>
    </w:p>
    <w:p w14:paraId="40B46076" w14:textId="0CF0A849" w:rsidR="001D0FF4" w:rsidRDefault="001D0FF4" w:rsidP="006E3990">
      <w:pPr>
        <w:ind w:firstLine="720"/>
        <w:rPr>
          <w:lang w:val="en-US"/>
        </w:rPr>
      </w:pPr>
      <w:r>
        <w:rPr>
          <w:rFonts w:cs="Times New Roman"/>
          <w:szCs w:val="26"/>
          <w:lang w:val="en-US"/>
        </w:rPr>
        <w:t xml:space="preserve">Đặc biệt, một trong những khía cạnh cảu các tiếp cận hiện đại đối với tăng trưởng kinh tế là việc chú trọng vào các khía cạnh thể chế. Tiếp cận này được cụ thể hóa bằng cách tập trung vào </w:t>
      </w:r>
      <w:r>
        <w:rPr>
          <w:lang w:val="en-US"/>
        </w:rPr>
        <w:t xml:space="preserve">phạm vi cụ thể của các yếu tố thể chế là quản trị công hoặc quản trị kinh tế (Mira và Hamadache 2017a, 2017b; Al-Naser 2019). Theo nghĩa chung, khái niệm Quản trị tốt (good governance) được World Bank đưa ra (World Bank 1992, 1994), theo đó quản trị là một cách thức mà quyền lực được sử dụng để quản lý các nguồn lực xã hội và kinh tể nhằm phục vụ cho phát triển.Các thành tố chính của quản trị thường bao gồm sự ổn định chính trị, áp dụng luật pháp (rule of law), kiểm soát tham nhũng, trách nhiệm giải trình, minh bạch và công bố thông tin, quản lý khu vực công (public sector management). Các yếu tố khác có thể được thêm vào và các thành tố nói trên có thể được chi tiết hóa tùy vào bối cảnh nghiên cứu và áp dụng cụ thể (Kaufman và các cộng sự 1999, Nanda 2006). Quản trị tốt là hệ thống quản trị “… </w:t>
      </w:r>
      <w:r>
        <w:rPr>
          <w:lang w:val="en-US" w:eastAsia="en-GB"/>
        </w:rPr>
        <w:t>đ</w:t>
      </w:r>
      <w:r w:rsidRPr="00CB0250">
        <w:rPr>
          <w:lang w:val="vi-VN" w:eastAsia="en-GB"/>
        </w:rPr>
        <w:t>ược thể hiện bằng việc hoạch định chính sách có thể dự đoán được, cởi mở và sáng suốt; một bộ máy quan liêu thấm nhuần đặc tính nghề nghiệp; một cơ quan hành pháp của chính phủ chịu trách nhiệm về các hành động của mình; và một xã hội dân sự mạnh mẽ tham gia vào các hoạt động công ích; và tất cả đều hành xử theo pháp quyền</w:t>
      </w:r>
      <w:r>
        <w:rPr>
          <w:lang w:val="en-US"/>
        </w:rPr>
        <w:t>”  (World Bank 1994, tr 12). Một môi trường quản trị tốt sẽ thúc đẩy tăng trưởng thông qua việc tăng cường hiệu quả của các nguồn lực sẵn có, đồng thời có cũng tác động đến việc mở rộng nguồn lực thông qua hiệu ứng “thúc đẩy thị trường” (market enhancing) (Mira và Hamadache 2017a, 2017b; Kraipornsak 2018). Như vậy, đóng góp của yếu tố quản trị cũng dựa trên thông qua các kênh tác động trên nền tảng của các lý thuyết về tăng trưởng kinh tế.</w:t>
      </w:r>
    </w:p>
    <w:p w14:paraId="56B9804F" w14:textId="6DB96100" w:rsidR="006E3990" w:rsidRDefault="00223B61" w:rsidP="00781E0B">
      <w:pPr>
        <w:ind w:firstLine="720"/>
      </w:pPr>
      <w:r>
        <w:rPr>
          <w:lang w:val="en-US"/>
        </w:rPr>
        <w:t>Về mặt thực nghiệm nhiều công trình nghiên cứu đã cho thấy vai trò của yếu tố thể chế và q</w:t>
      </w:r>
      <w:r w:rsidR="001352E8">
        <w:rPr>
          <w:lang w:val="en-US"/>
        </w:rPr>
        <w:t xml:space="preserve">uản trị công đối với tăng trưởng kinh tế, ví dụ </w:t>
      </w:r>
      <w:r w:rsidR="001352E8">
        <w:rPr>
          <w:lang w:val="en-US"/>
        </w:rPr>
        <w:t xml:space="preserve">Boldeanu và Constantinescu (2015), Chirwa và Odhiambo (2016), Stoica và các cộng sự (2020). Các kết quả nhìn chung cho thấy nhóm các nhân tố thúc đẩy tăng trưởng là đầu tư, vốn con người (giáo dục), các yếu tố thể chế, và độ mở của nền kinh tế. Vai trò của chi tiêu công không nhất quán trong các </w:t>
      </w:r>
      <w:r w:rsidR="001352E8">
        <w:rPr>
          <w:lang w:val="en-US"/>
        </w:rPr>
        <w:lastRenderedPageBreak/>
        <w:t xml:space="preserve">nghiên cứu thực nghiệm và tùy thuộc và dạng chi tiêu. Các nghiên cứu cũng chỉ ra vai trò của tinh thần doanh nhân (entrepreneuship) và năng lực quản lý vĩ mô của chính phủ.  Đặc biệt, vai trò của các yếu tố thể chế và quản trị </w:t>
      </w:r>
      <w:r w:rsidR="004109C3">
        <w:rPr>
          <w:lang w:val="en-US"/>
        </w:rPr>
        <w:t xml:space="preserve">kinh tế </w:t>
      </w:r>
      <w:r w:rsidR="001352E8">
        <w:rPr>
          <w:lang w:val="en-US"/>
        </w:rPr>
        <w:t>cũng được ủng hộ trong thực nghiệm trong nhiều nghiên cứu và khảo lược đơn cử như Kraipornsak (2018), Islam và McGillivray (2020).</w:t>
      </w:r>
      <w:r>
        <w:rPr>
          <w:lang w:val="en-US"/>
        </w:rPr>
        <w:t xml:space="preserve"> </w:t>
      </w:r>
      <w:r w:rsidR="00AF4651">
        <w:t xml:space="preserve"> </w:t>
      </w:r>
    </w:p>
    <w:p w14:paraId="3F6DA043" w14:textId="77777777" w:rsidR="00061D48" w:rsidRDefault="00061D48" w:rsidP="00061D48">
      <w:pPr>
        <w:ind w:firstLine="720"/>
        <w:rPr>
          <w:color w:val="000000"/>
          <w:lang w:val="en-US"/>
        </w:rPr>
      </w:pPr>
      <w:r>
        <w:rPr>
          <w:lang w:val="en-US"/>
        </w:rPr>
        <w:t xml:space="preserve">Để đánh giá và đo lường vai trò của các khía cạnh quản trị kinh tế, nhiều quốc gia đã phát triển các bộ chỉ số đo lường khác nhau </w:t>
      </w:r>
      <w:r w:rsidRPr="00093E8D">
        <w:rPr>
          <w:rFonts w:cs="Times New Roman"/>
          <w:szCs w:val="26"/>
          <w:lang w:val="en-US"/>
        </w:rPr>
        <w:t>Bland &amp; Vaz (2017)</w:t>
      </w:r>
      <w:r>
        <w:rPr>
          <w:lang w:val="en-US"/>
        </w:rPr>
        <w:t xml:space="preserve">. Tuy có </w:t>
      </w:r>
      <w:r>
        <w:rPr>
          <w:color w:val="000000"/>
        </w:rPr>
        <w:t xml:space="preserve">tên gọi khác nhau, các bộ chỉ số này về bản chất là nhằm mục tiêu đo lường, đánh giá các góc độ của yếu tố thể chế, quản trị nhằm tạo lập một môi trường kinh doanh thúc đẩy tăng trưởng. </w:t>
      </w:r>
      <w:r>
        <w:rPr>
          <w:color w:val="000000"/>
          <w:lang w:val="en-US"/>
        </w:rPr>
        <w:t xml:space="preserve">Vai trò của PCI đối với tăng trưởng về bản chất có thể được lý giải từ lý thuyết tăng trưởng hiện đại trong góc độ thể chế như đã nêu trên, vì PCI về bản chất là hệ thống các chỉ số đo lường các góc độ khác nhau của năng lực quản lý kinh tế của địa phương. </w:t>
      </w:r>
    </w:p>
    <w:p w14:paraId="3A7FAA74" w14:textId="2E1C58D7" w:rsidR="00314F2A" w:rsidRDefault="00CD77CE" w:rsidP="00AF4651">
      <w:pPr>
        <w:pStyle w:val="Heading2"/>
      </w:pPr>
      <w:r>
        <w:t xml:space="preserve">Tác động của </w:t>
      </w:r>
      <w:r w:rsidR="00AF4651">
        <w:t>PCI đến tăng trưởng kinh tế</w:t>
      </w:r>
    </w:p>
    <w:p w14:paraId="64498EAD" w14:textId="4E21E368" w:rsidR="00F407CA" w:rsidRDefault="00687226" w:rsidP="00F407CA">
      <w:pPr>
        <w:ind w:firstLine="720"/>
        <w:rPr>
          <w:noProof/>
          <w:lang w:val="en-US"/>
        </w:rPr>
      </w:pPr>
      <w:r>
        <w:rPr>
          <w:color w:val="000000"/>
          <w:lang w:val="en-US"/>
        </w:rPr>
        <w:t>Về các nghiên cứu thực nghiệm t</w:t>
      </w:r>
      <w:r w:rsidR="0068275A">
        <w:rPr>
          <w:color w:val="000000"/>
          <w:lang w:val="en-US"/>
        </w:rPr>
        <w:t>rên thế giới</w:t>
      </w:r>
      <w:r>
        <w:rPr>
          <w:color w:val="000000"/>
          <w:lang w:val="en-US"/>
        </w:rPr>
        <w:t>, t</w:t>
      </w:r>
      <w:r>
        <w:rPr>
          <w:noProof/>
          <w:lang w:val="en-US"/>
        </w:rPr>
        <w:t>rước hết, do các bộ chỉ số tương tự như PCI hầu hết đã ngừng, ngoại trừ các trường hợp là El Salvador, Phillipines, và Việt Nam</w:t>
      </w:r>
      <w:r w:rsidR="0096784A" w:rsidRPr="0096784A">
        <w:rPr>
          <w:rFonts w:cs="Times New Roman"/>
          <w:szCs w:val="26"/>
          <w:lang w:val="en-US"/>
        </w:rPr>
        <w:t xml:space="preserve"> </w:t>
      </w:r>
      <w:r w:rsidR="0096784A">
        <w:rPr>
          <w:rFonts w:cs="Times New Roman"/>
          <w:szCs w:val="26"/>
          <w:lang w:val="en-US"/>
        </w:rPr>
        <w:t>(</w:t>
      </w:r>
      <w:r w:rsidR="0096784A" w:rsidRPr="00093E8D">
        <w:rPr>
          <w:rFonts w:cs="Times New Roman"/>
          <w:szCs w:val="26"/>
          <w:lang w:val="en-US"/>
        </w:rPr>
        <w:t>Bland &amp; Vaz 2017)</w:t>
      </w:r>
      <w:r>
        <w:rPr>
          <w:noProof/>
          <w:lang w:val="en-US"/>
        </w:rPr>
        <w:t xml:space="preserve">, các nghiên cứu về tăng trưởng sử dụng các bộ chỉ số </w:t>
      </w:r>
      <w:r>
        <w:rPr>
          <w:noProof/>
          <w:lang w:val="en-US"/>
        </w:rPr>
        <w:t xml:space="preserve">này </w:t>
      </w:r>
      <w:r w:rsidR="00F50922">
        <w:rPr>
          <w:noProof/>
          <w:lang w:val="en-US"/>
        </w:rPr>
        <w:t xml:space="preserve">khá </w:t>
      </w:r>
      <w:r>
        <w:rPr>
          <w:noProof/>
          <w:lang w:val="en-US"/>
        </w:rPr>
        <w:t>ít</w:t>
      </w:r>
      <w:r>
        <w:rPr>
          <w:noProof/>
          <w:lang w:val="en-US"/>
        </w:rPr>
        <w:t xml:space="preserve">. Tuy vậy vẫn có thể tìm thấy một số nghiên cứu ít nhiều có liên quan. </w:t>
      </w:r>
      <w:r w:rsidRPr="00B3400A">
        <w:rPr>
          <w:noProof/>
          <w:lang w:val="en-US"/>
        </w:rPr>
        <w:t xml:space="preserve">Villamejor-Mendoza (2020) </w:t>
      </w:r>
      <w:r>
        <w:rPr>
          <w:noProof/>
          <w:lang w:val="en-US"/>
        </w:rPr>
        <w:t xml:space="preserve">sử dụng </w:t>
      </w:r>
      <w:r w:rsidRPr="00B3400A">
        <w:rPr>
          <w:noProof/>
          <w:lang w:val="en-US"/>
        </w:rPr>
        <w:t xml:space="preserve">chỉ số CMCI </w:t>
      </w:r>
      <w:r>
        <w:rPr>
          <w:noProof/>
          <w:lang w:val="en-US"/>
        </w:rPr>
        <w:t xml:space="preserve">của Phillipins </w:t>
      </w:r>
      <w:r w:rsidRPr="00B3400A">
        <w:rPr>
          <w:noProof/>
          <w:lang w:val="en-US"/>
        </w:rPr>
        <w:t xml:space="preserve">(chỉ số cạnh tranh địa </w:t>
      </w:r>
      <w:r>
        <w:rPr>
          <w:noProof/>
          <w:lang w:val="en-US"/>
        </w:rPr>
        <w:t>phương của Phillipins, tương tự như PCI của Việt Nam) và xem xét mối tương quan với chỉ số phát triển con người. Kết quả cho thấy chỉ số cạnh tranh có tương quan thuận chiều với chỉ số phát triển con người. Như các lý thuyết và nghiên cứu thực nghiệm về tăng trưởng kinh tế cho thấy, vốn con người là một yếu tố thúc đẩy tăng trưởng. Do vậy kết quả trên có thể gợi ý một mối liên hệ gián tiếp giữa năng lực cạnh tranh địa phương và tăng trưởng kinh tế. Tương tự Aquino (2019) xem xét tác động của các chỉ số thành phần trong chỉ số CMCI của Phillipins năm 2018 và tìm thấy vai trò của yếu tố thành phần Chính phủ hiệu quả trong việc quyết định lựa chọn địa điểm đặt doanh nghiệp. Kết quả này cũng gián tiếp gợi ý về vai trò của năng lực cạnh tranh đối với tăng trưởng.</w:t>
      </w:r>
    </w:p>
    <w:p w14:paraId="3FAD8073" w14:textId="50B93A57" w:rsidR="00D0697A" w:rsidRPr="0085406B" w:rsidRDefault="00F407CA" w:rsidP="00D0697A">
      <w:pPr>
        <w:rPr>
          <w:noProof/>
          <w:lang w:val="en-US"/>
        </w:rPr>
      </w:pPr>
      <w:r>
        <w:rPr>
          <w:noProof/>
          <w:lang w:val="en-US"/>
        </w:rPr>
        <w:lastRenderedPageBreak/>
        <w:tab/>
      </w:r>
      <w:r>
        <w:rPr>
          <w:color w:val="000000"/>
        </w:rPr>
        <w:t>Tại Việt Nam, bộ chỉ số được xây dựng đầu tiên vào năm 2005 với tên gọi là Chỉ số năng lực cạnh tranh cấp Tỉnh (</w:t>
      </w:r>
      <w:r w:rsidRPr="00BA4C4E">
        <w:t>Provincial Competitiveness Index</w:t>
      </w:r>
      <w:r>
        <w:t xml:space="preserve">-PCI). Cho đến nay, bộ chỉ số này đã được duy trì và cải tiến nhiều lần và vẫn đang được tiếp tục thực hiện hàng năm. </w:t>
      </w:r>
      <w:r w:rsidR="00D0697A">
        <w:t>Nhờ vậy, đ</w:t>
      </w:r>
      <w:r w:rsidR="00D0697A">
        <w:rPr>
          <w:noProof/>
          <w:lang w:val="en-US"/>
        </w:rPr>
        <w:t xml:space="preserve">ối với trường hợp Việt Nam, nhiều công trình đã sử dụng bộ dữ liệu này trong các nghiên cứu ở các lĩnh vực khác nhau, trong đó có các nghiên cứu liên quan đến vai trò của quản trị công đến tăng trưởng kinh tế.  </w:t>
      </w:r>
      <w:r w:rsidR="00D0697A" w:rsidRPr="00625FEE">
        <w:rPr>
          <w:noProof/>
          <w:lang w:val="vi-VN"/>
        </w:rPr>
        <w:t xml:space="preserve">Lien (2017) đã đã áp dụng kiểm định Granger trên bộ dữ liệu bảng của 60 tỉnh thành tại Việt Nam từ năm 2006 đến năm 2014 và kết quả nghiên cứu cho thấy chỉ số năng lực cạnh tranh có tác động tích cực, có ý nghĩa thống kê, đến tăng trưởng kinh tế. </w:t>
      </w:r>
    </w:p>
    <w:p w14:paraId="62F12290" w14:textId="77777777" w:rsidR="00310DA6" w:rsidRDefault="00D0697A" w:rsidP="00310DA6">
      <w:pPr>
        <w:ind w:firstLine="720"/>
        <w:rPr>
          <w:noProof/>
          <w:lang w:val="en-US"/>
        </w:rPr>
      </w:pPr>
      <w:r>
        <w:rPr>
          <w:noProof/>
          <w:lang w:val="en-US"/>
        </w:rPr>
        <w:t>M</w:t>
      </w:r>
      <w:r>
        <w:rPr>
          <w:noProof/>
          <w:lang w:val="en-US"/>
        </w:rPr>
        <w:t xml:space="preserve">ột loạt các công trình khác gần đây </w:t>
      </w:r>
      <w:r w:rsidR="001036AE">
        <w:rPr>
          <w:noProof/>
          <w:lang w:val="en-US"/>
        </w:rPr>
        <w:t xml:space="preserve">đã </w:t>
      </w:r>
      <w:r>
        <w:rPr>
          <w:noProof/>
          <w:lang w:val="en-US"/>
        </w:rPr>
        <w:t xml:space="preserve">tập trung vào xem xét yếu tố quản trị </w:t>
      </w:r>
      <w:r w:rsidR="001036AE">
        <w:rPr>
          <w:noProof/>
          <w:lang w:val="en-US"/>
        </w:rPr>
        <w:t xml:space="preserve">kinh tế </w:t>
      </w:r>
      <w:r>
        <w:rPr>
          <w:noProof/>
          <w:lang w:val="en-US"/>
        </w:rPr>
        <w:t>đến tăng trưởng kinh tế địa phương thông qua việc sử dụng bộ chỉ số PCI</w:t>
      </w:r>
      <w:r w:rsidR="001036AE">
        <w:rPr>
          <w:noProof/>
          <w:lang w:val="en-US"/>
        </w:rPr>
        <w:t xml:space="preserve"> với các phân tích chi tiết và sử dụng kỹ thuật hiện đại</w:t>
      </w:r>
      <w:r>
        <w:rPr>
          <w:noProof/>
          <w:lang w:val="en-US"/>
        </w:rPr>
        <w:t xml:space="preserve">. Trước hết phải nhắc đến cụm công trình của Thành, Hart và </w:t>
      </w:r>
      <w:r w:rsidR="001036AE">
        <w:rPr>
          <w:noProof/>
          <w:lang w:val="en-US"/>
        </w:rPr>
        <w:t xml:space="preserve">Cảnh </w:t>
      </w:r>
      <w:r>
        <w:rPr>
          <w:noProof/>
          <w:lang w:val="en-US"/>
        </w:rPr>
        <w:t xml:space="preserve">(2020), </w:t>
      </w:r>
      <w:r w:rsidR="001036AE">
        <w:rPr>
          <w:noProof/>
          <w:lang w:val="en-US"/>
        </w:rPr>
        <w:t xml:space="preserve">Thành </w:t>
      </w:r>
      <w:r>
        <w:rPr>
          <w:noProof/>
          <w:lang w:val="en-US"/>
        </w:rPr>
        <w:t xml:space="preserve">và </w:t>
      </w:r>
      <w:r w:rsidR="001036AE">
        <w:rPr>
          <w:noProof/>
          <w:lang w:val="en-US"/>
        </w:rPr>
        <w:t xml:space="preserve">Cảnh </w:t>
      </w:r>
      <w:r>
        <w:rPr>
          <w:noProof/>
          <w:lang w:val="en-US"/>
        </w:rPr>
        <w:t xml:space="preserve">(2020), </w:t>
      </w:r>
      <w:r w:rsidR="001036AE">
        <w:rPr>
          <w:noProof/>
          <w:lang w:val="en-US"/>
        </w:rPr>
        <w:t xml:space="preserve">Thành </w:t>
      </w:r>
      <w:r>
        <w:rPr>
          <w:noProof/>
          <w:lang w:val="en-US"/>
        </w:rPr>
        <w:t xml:space="preserve">và Hoài (2020). </w:t>
      </w:r>
    </w:p>
    <w:p w14:paraId="7E258C52" w14:textId="54F1FFDA" w:rsidR="00D0697A" w:rsidRDefault="00D0697A" w:rsidP="00310DA6">
      <w:pPr>
        <w:ind w:firstLine="720"/>
        <w:rPr>
          <w:noProof/>
          <w:lang w:val="en-US"/>
        </w:rPr>
      </w:pPr>
      <w:r>
        <w:rPr>
          <w:noProof/>
          <w:lang w:val="en-US"/>
        </w:rPr>
        <w:t xml:space="preserve">Công trình Thành, Hart và </w:t>
      </w:r>
      <w:r w:rsidR="001036AE">
        <w:rPr>
          <w:noProof/>
          <w:lang w:val="en-US"/>
        </w:rPr>
        <w:t xml:space="preserve">Cảnh </w:t>
      </w:r>
      <w:r>
        <w:rPr>
          <w:noProof/>
          <w:lang w:val="en-US"/>
        </w:rPr>
        <w:t xml:space="preserve">(2020) sử dụng tiếp cận hàm sản xuất, trong đó quản trị địa phương là một nhân tố trong hàm sản xuất và được đo bằng PCI ranking. Thời gian nghiên cứu là giai đoạn 2006-2015 cho 62 tỉnh thành phố (Không có Đắc Nông do dữ liệu cho tỉnh này không đầy đủ). Kết quả cho thấy PCI ranking có tác động đến tăng trưởng theo chiều hướng các địa phương thuộc nhóm ranking thấp có tăng trưởng thấp hơn, các địa phương thuộc nhóm tăng trưởng cao sẽ có tăng trưởng cao. Công trình cũng xem xét thêm các khía cạnh chi tiết của quản trị công bằng cách sử dụng lần lượt ba chỉ số thành phần chi tiết là Chi phí không chính thức, Tính minh bạch, và Sự thiên lệch trong chính sách, Kết quả cho thấy các thành phần này đều có tác động đến tăng trưởng kinh tế, trong đó Tính minh bạch giúp thúc đẩy tăng trưởng trong khi Chi phí không chính thức và Sự thiên lệch trong chính sách đều có tác động làm giảm tăng trưởng. Hơn thế nữa, công trình cũng tìm thấy hiệu ứng điều tiết của các yếu tố này đến hiệu quả của chi tiêu chính phủ và đầu tư tư nhân. Kết quả cho thấy Tính minh bạch gia tăng hiệu quả của chi tiêu chính phủ và của đầu tư tư nhân, trong khi Chi phí không chính thức và Sự thiên lệch trong chính sách làm giảm tác động tích của chi tiêu chính phủ và đầu tư tư nhân đến tăng trưởng. </w:t>
      </w:r>
    </w:p>
    <w:p w14:paraId="7A27B256" w14:textId="1F3F2599" w:rsidR="001847C0" w:rsidRDefault="00310DA6" w:rsidP="00310DA6">
      <w:pPr>
        <w:ind w:firstLine="720"/>
        <w:rPr>
          <w:noProof/>
          <w:lang w:val="en-US"/>
        </w:rPr>
      </w:pPr>
      <w:r>
        <w:rPr>
          <w:noProof/>
          <w:lang w:val="en-US"/>
        </w:rPr>
        <w:lastRenderedPageBreak/>
        <w:t xml:space="preserve">Thành </w:t>
      </w:r>
      <w:r w:rsidR="00D0697A">
        <w:rPr>
          <w:noProof/>
          <w:lang w:val="en-US"/>
        </w:rPr>
        <w:t xml:space="preserve">và </w:t>
      </w:r>
      <w:r>
        <w:rPr>
          <w:noProof/>
          <w:lang w:val="en-US"/>
        </w:rPr>
        <w:t xml:space="preserve">Cảnh </w:t>
      </w:r>
      <w:r w:rsidR="00D0697A">
        <w:rPr>
          <w:noProof/>
          <w:lang w:val="en-US"/>
        </w:rPr>
        <w:t xml:space="preserve">(2020) cũng tìm thấy kết quả tương tự cho vai trò của quản trị địa phương bằng cách sử dụng giá trị của chỉ số PCI tổng hợp với cùng thời gian nghiên cứu 2006-2015 (Nghiên cứu này không sử dụng chỉ số thành phần). Kết quả cũng cho thấy tác động thuận chiều của PCI đến tăng trưởng kinh tế địa phương. Mặc khác, PCI cũng có tác động điều tiết và giúp gia tăng hiệu quả của việc phi tập trung hóa tài chính công đến tăng trưởng kinh tế cho nhóm có năng lực quản trị địa phương cao (PCI trên trung bình) nhưng tác động điều tiết này không tồn tại đối với nhóm có năng lực quản trị địa phương thấp (PCI thấp hơn trung bình). Trong khi đó </w:t>
      </w:r>
      <w:r w:rsidR="00B96DE9">
        <w:rPr>
          <w:noProof/>
          <w:lang w:val="en-US"/>
        </w:rPr>
        <w:t xml:space="preserve">Thành </w:t>
      </w:r>
      <w:r w:rsidR="00D0697A">
        <w:rPr>
          <w:noProof/>
          <w:lang w:val="en-US"/>
        </w:rPr>
        <w:t xml:space="preserve">và Hoài (2020) sử dụng số liệu cho giai đoạn 2005-2013 cho 63 tỉnh thành với năng lực quản trị địa phương cũng được đo bằng PCI tổng hợp và  ngoài ra còn sử dụng thêm lần lượng các chỉ số thành phần của PCI. Kết quả cho thấy xét chung chỉ số PCI có tác động thuận chiều đến tăng trưởng kinh tế địa phương. Năng lực quản trị địa phương (PCI) cũng có tác động điều tiết thúc đẩy hiệu quả của đầu tư tư nhân nội địa. Đối với các chỉ số thành phần, các tác động khá đa dạng cả về chiều hướng tác động lẫn yếu tố có tác động tùy thuộc vào mô hình được ước lượng. </w:t>
      </w:r>
    </w:p>
    <w:p w14:paraId="54922BAF" w14:textId="0CCED6F8" w:rsidR="00754201" w:rsidRDefault="00754201" w:rsidP="00310DA6">
      <w:pPr>
        <w:ind w:firstLine="720"/>
        <w:rPr>
          <w:noProof/>
          <w:lang w:val="en-US"/>
        </w:rPr>
      </w:pPr>
      <w:r>
        <w:rPr>
          <w:noProof/>
          <w:lang w:val="en-US"/>
        </w:rPr>
        <w:t>Như vậy, nếu xét chung, tác động của PCI đến tăng trưởng là có cơ sở lý thuyết</w:t>
      </w:r>
      <w:r w:rsidR="00420619">
        <w:rPr>
          <w:noProof/>
          <w:lang w:val="en-US"/>
        </w:rPr>
        <w:t xml:space="preserve"> lẫn thực nghiệm. </w:t>
      </w:r>
      <w:r w:rsidR="00274502">
        <w:rPr>
          <w:noProof/>
          <w:lang w:val="en-US"/>
        </w:rPr>
        <w:t xml:space="preserve">Các nghiên cứu trước cũng đã phần nào chỉ ra tác động của các chỉ số thành phần đến tăng trưởng là có thể khác nhau. </w:t>
      </w:r>
      <w:r w:rsidR="00420619">
        <w:rPr>
          <w:noProof/>
          <w:lang w:val="en-US"/>
        </w:rPr>
        <w:t xml:space="preserve">Trên cơ sở đó, bài nghiên cứu khai thác một khía cạnh khác là sử dụng phương pháp ma trận Tầm quan trọng-Thực </w:t>
      </w:r>
      <w:r w:rsidR="007B23D2">
        <w:rPr>
          <w:noProof/>
          <w:lang w:val="en-US"/>
        </w:rPr>
        <w:t>hiện (thực trạng)</w:t>
      </w:r>
      <w:r w:rsidR="00274502">
        <w:rPr>
          <w:noProof/>
          <w:lang w:val="en-US"/>
        </w:rPr>
        <w:t xml:space="preserve"> để từ đó gợi ý mức độ ưu tiên cần phải tập trung cải thiện của các chỉ số thành phần.</w:t>
      </w:r>
    </w:p>
    <w:p w14:paraId="7619A921" w14:textId="60ABD2C8" w:rsidR="00274502" w:rsidRDefault="00274502" w:rsidP="00274502">
      <w:pPr>
        <w:pStyle w:val="Heading1"/>
        <w:rPr>
          <w:noProof/>
          <w:lang w:val="en-US"/>
        </w:rPr>
      </w:pPr>
      <w:r>
        <w:rPr>
          <w:noProof/>
          <w:lang w:val="en-US"/>
        </w:rPr>
        <w:t>Phương pháp nghiên cứu</w:t>
      </w:r>
    </w:p>
    <w:p w14:paraId="3AC234D9" w14:textId="0236219A" w:rsidR="00274502" w:rsidRDefault="00216341" w:rsidP="00216341">
      <w:pPr>
        <w:pStyle w:val="Heading2"/>
        <w:rPr>
          <w:lang w:val="en-US"/>
        </w:rPr>
      </w:pPr>
      <w:r>
        <w:rPr>
          <w:lang w:val="en-US"/>
        </w:rPr>
        <w:t>Mô tả dữ liệu</w:t>
      </w:r>
    </w:p>
    <w:p w14:paraId="7F309810" w14:textId="2B8E9547" w:rsidR="00402949" w:rsidRPr="001B5DA4" w:rsidRDefault="00402949" w:rsidP="00262EE6">
      <w:pPr>
        <w:ind w:firstLine="720"/>
        <w:rPr>
          <w:color w:val="000000"/>
          <w:lang w:val="en-US"/>
        </w:rPr>
      </w:pPr>
      <w:r>
        <w:rPr>
          <w:color w:val="000000"/>
        </w:rPr>
        <w:t>Như đã nêu</w:t>
      </w:r>
      <w:r w:rsidRPr="00625FEE">
        <w:rPr>
          <w:color w:val="000000"/>
        </w:rPr>
        <w:t>,</w:t>
      </w:r>
      <w:r w:rsidRPr="00625FEE">
        <w:rPr>
          <w:color w:val="000000"/>
          <w:lang w:val="vi-VN"/>
        </w:rPr>
        <w:t xml:space="preserve"> PCI được thí điểm lần đầu vào năm 2005</w:t>
      </w:r>
      <w:r w:rsidR="00C91978">
        <w:rPr>
          <w:color w:val="000000"/>
          <w:lang w:val="en-US"/>
        </w:rPr>
        <w:t xml:space="preserve"> và </w:t>
      </w:r>
      <w:r>
        <w:rPr>
          <w:color w:val="000000"/>
          <w:lang w:val="en-US"/>
        </w:rPr>
        <w:t xml:space="preserve">chỉ xây dựng cho 42 tỉnh thành. Trong giai đoạn 2006-2008, bộ chỉ số được xây dựng cho toàn bộ 64 tỉnh thành lúc bấy giờ, bao gồm 63 tỉnh thành hiện nay và Hà Tây (trước khi nhập vào Hà Nội). Từ năm 2009 đến nay, bộ chỉ số được xây dựng cho 63 tỉnh thành. </w:t>
      </w:r>
    </w:p>
    <w:p w14:paraId="06469DB8" w14:textId="6968B342" w:rsidR="00402949" w:rsidRDefault="00402949" w:rsidP="00262EE6">
      <w:pPr>
        <w:ind w:firstLine="720"/>
        <w:rPr>
          <w:color w:val="000000"/>
          <w:lang w:val="en-US"/>
        </w:rPr>
      </w:pPr>
      <w:r>
        <w:rPr>
          <w:color w:val="000000"/>
          <w:lang w:val="en-US"/>
        </w:rPr>
        <w:lastRenderedPageBreak/>
        <w:t xml:space="preserve">Chỉ số PCI chung của một địa phương được xây dựng dựa trên các chỉ số thành phần và có tính trọng số. Mỗi chỉ số thành phần bao gồm một số chỉ số chi tiết phản ảnh các khía cạnh khác nhau trong chỉ số thành phần. Bộ chỉ số này đã trải qua hai lần điều chỉnh về phương pháp vào các năm 2013 và 2017. Hiện nay, phiên bản mới nhất đang sử dụng có </w:t>
      </w:r>
      <w:r w:rsidRPr="00625FEE">
        <w:rPr>
          <w:color w:val="000000"/>
          <w:lang w:val="vi-VN"/>
        </w:rPr>
        <w:t xml:space="preserve">đến nay có 10 chỉ số thành phần </w:t>
      </w:r>
      <w:r>
        <w:rPr>
          <w:color w:val="000000"/>
          <w:lang w:val="en-US"/>
        </w:rPr>
        <w:t>và 128 chỉ số chi tiết. Cần lưu ý là số lượng chỉ số chi tiết là không bằng nhau cho mỗi chỉ số thành phần, thông thường một chỉ số thành phần có khoảng 10 chỉ số chi tiết, tuy nhiên cá biệt cũng có chỉ số thành phần có đến hơn 20 chỉ số chi tiết.</w:t>
      </w:r>
      <w:r w:rsidR="002C17B4">
        <w:rPr>
          <w:color w:val="000000"/>
          <w:lang w:val="en-US"/>
        </w:rPr>
        <w:t xml:space="preserve"> Các chỉ số đều được chuẩn hóa trên thang </w:t>
      </w:r>
      <w:r w:rsidR="00C05284">
        <w:rPr>
          <w:color w:val="000000"/>
          <w:lang w:val="en-US"/>
        </w:rPr>
        <w:t>[1,10] với 1 là năng lực quản lý tương ứng yếu nhất và 10 là tốt nhất.</w:t>
      </w:r>
    </w:p>
    <w:p w14:paraId="5E1D51B7" w14:textId="77777777" w:rsidR="00402949" w:rsidRDefault="00402949" w:rsidP="00262EE6">
      <w:pPr>
        <w:ind w:firstLine="720"/>
        <w:rPr>
          <w:color w:val="000000"/>
          <w:lang w:val="en-US"/>
        </w:rPr>
      </w:pPr>
      <w:r>
        <w:rPr>
          <w:color w:val="000000"/>
          <w:lang w:val="en-US"/>
        </w:rPr>
        <w:t xml:space="preserve">Về phương pháp điều tra thu thập số liệu, bộ chỉ số PCI được xây dựng dựa trên kết hợp các dữ liệu cứng (hard data) tức các dữ liệu thứ cấp thu thập từ các nguồn thống kê chính thức và dữ liệu điều tra với đối tượng điều tra là doanh nghiệp, thông qua hình thức gởi thư. Các doanh nghiệp được chọn theo phương pháp lấy mẫu ngẫu nhiên phân tầng theo từng tỉnh với 11 tiêu chí và 45 nhóm tổ hợp. </w:t>
      </w:r>
    </w:p>
    <w:p w14:paraId="71B3C937" w14:textId="4451C36E" w:rsidR="00216341" w:rsidRDefault="00262EE6" w:rsidP="00216341">
      <w:pPr>
        <w:rPr>
          <w:lang w:val="en-US"/>
        </w:rPr>
      </w:pPr>
      <w:r>
        <w:rPr>
          <w:lang w:val="en-US"/>
        </w:rPr>
        <w:tab/>
        <w:t xml:space="preserve">Do sự thay đổi trong phương pháp luận tại hai thời điểm 2013 và 2017, các số liệu được công bố không hoàn toàn tương thích. Vì thế, nghiên cứu này chỉ sử dụng dữ liệu của giai đoạn 2017-2020. </w:t>
      </w:r>
      <w:r w:rsidR="00497EFB">
        <w:rPr>
          <w:lang w:val="en-US"/>
        </w:rPr>
        <w:t xml:space="preserve">Các dữ liệu của PCI được lấy từ trang web của chương trình này (tại </w:t>
      </w:r>
      <w:hyperlink r:id="rId8" w:history="1">
        <w:r w:rsidR="004F60E5" w:rsidRPr="00EF58FD">
          <w:rPr>
            <w:rStyle w:val="Hyperlink"/>
            <w:lang w:val="en-US"/>
          </w:rPr>
          <w:t>https://pcivietnam.vn/</w:t>
        </w:r>
      </w:hyperlink>
      <w:r w:rsidR="00497EFB">
        <w:rPr>
          <w:lang w:val="en-US"/>
        </w:rPr>
        <w:t>)</w:t>
      </w:r>
      <w:r w:rsidR="004F60E5">
        <w:rPr>
          <w:lang w:val="en-US"/>
        </w:rPr>
        <w:t>.</w:t>
      </w:r>
    </w:p>
    <w:p w14:paraId="3954B6A3" w14:textId="768F19E5" w:rsidR="004F60E5" w:rsidRDefault="00840C43" w:rsidP="00840C43">
      <w:pPr>
        <w:pStyle w:val="Heading2"/>
        <w:rPr>
          <w:lang w:val="en-US"/>
        </w:rPr>
      </w:pPr>
      <w:r>
        <w:rPr>
          <w:lang w:val="en-US"/>
        </w:rPr>
        <w:t>Phương pháp phân tích</w:t>
      </w:r>
    </w:p>
    <w:p w14:paraId="5F970F58" w14:textId="026A97EB" w:rsidR="00AF2070" w:rsidRPr="00102B60" w:rsidRDefault="00A53AEE" w:rsidP="00BD3DB8">
      <w:pPr>
        <w:ind w:firstLine="288"/>
        <w:rPr>
          <w:lang w:val="en-US"/>
        </w:rPr>
      </w:pPr>
      <w:r>
        <w:rPr>
          <w:lang w:val="en-US"/>
        </w:rPr>
        <w:tab/>
      </w:r>
      <w:r w:rsidR="00AF2070">
        <w:rPr>
          <w:lang w:val="en-US"/>
        </w:rPr>
        <w:t>Dựa trên các khảo lược tài liệu trên đây, bài nghiên cứu đề xuất mô hình tác động của PCI bao gồm 5 yếu tố chính (</w:t>
      </w:r>
      <w:r w:rsidR="00AF2070" w:rsidRPr="00B67221">
        <w:rPr>
          <w:highlight w:val="yellow"/>
          <w:lang w:val="en-US"/>
        </w:rPr>
        <w:t>tại sao lại là 5 mà không là 10 hay là con số khác?</w:t>
      </w:r>
      <w:r w:rsidR="00B67221">
        <w:rPr>
          <w:lang w:val="en-US"/>
        </w:rPr>
        <w:t xml:space="preserve"> </w:t>
      </w:r>
      <w:r w:rsidR="00B67221" w:rsidRPr="00B67221">
        <w:rPr>
          <w:highlight w:val="yellow"/>
          <w:lang w:val="en-US"/>
        </w:rPr>
        <w:t>Vì sao không sử dụng các chỉ số thành phần khác? Các chỉ số sử dụng ở đây là các chỉ số thành phần được công bố, hay là được xây dựng lại?</w:t>
      </w:r>
      <w:r w:rsidR="00F56B47">
        <w:rPr>
          <w:lang w:val="en-US"/>
        </w:rPr>
        <w:t xml:space="preserve"> </w:t>
      </w:r>
      <w:r w:rsidR="00F56B47" w:rsidRPr="00F56B47">
        <w:rPr>
          <w:highlight w:val="yellow"/>
          <w:lang w:val="en-US"/>
        </w:rPr>
        <w:t>Vì sao không sử dụng lại chỉ số thành phần đã công bố mà lại xây dựng lại</w:t>
      </w:r>
      <w:r w:rsidR="00AF2070">
        <w:rPr>
          <w:lang w:val="en-US"/>
        </w:rPr>
        <w:t xml:space="preserve">) là: Luật </w:t>
      </w:r>
      <w:r w:rsidR="00AF057B">
        <w:rPr>
          <w:lang w:val="en-US"/>
        </w:rPr>
        <w:t xml:space="preserve">pháp và quy định </w:t>
      </w:r>
      <w:r w:rsidR="00AF2070">
        <w:rPr>
          <w:lang w:val="en-US"/>
        </w:rPr>
        <w:t>(</w:t>
      </w:r>
      <w:r w:rsidR="00AF2070" w:rsidRPr="00102B60">
        <w:rPr>
          <w:lang w:val="en-US"/>
        </w:rPr>
        <w:t xml:space="preserve">SLO </w:t>
      </w:r>
      <w:r w:rsidR="00AF2070" w:rsidRPr="00102B60">
        <w:rPr>
          <w:lang w:val="en-US"/>
        </w:rPr>
        <w:t>-</w:t>
      </w:r>
      <w:r w:rsidR="00AF2070" w:rsidRPr="00102B60">
        <w:rPr>
          <w:lang w:val="en-US"/>
        </w:rPr>
        <w:t>law and order)</w:t>
      </w:r>
      <w:r w:rsidR="00AF2070">
        <w:rPr>
          <w:lang w:val="en-US"/>
        </w:rPr>
        <w:t>, Chi phí Thời gian và  Tuân thủ (</w:t>
      </w:r>
      <w:r w:rsidR="00AF2070" w:rsidRPr="00102B60">
        <w:rPr>
          <w:lang w:val="en-US"/>
        </w:rPr>
        <w:t xml:space="preserve">STC </w:t>
      </w:r>
      <w:r w:rsidR="00AF2070" w:rsidRPr="00102B60">
        <w:rPr>
          <w:lang w:val="en-US"/>
        </w:rPr>
        <w:t>-</w:t>
      </w:r>
      <w:r w:rsidR="00AF2070" w:rsidRPr="00102B60">
        <w:rPr>
          <w:lang w:val="en-US"/>
        </w:rPr>
        <w:t>time costs and regulatory compliance)</w:t>
      </w:r>
      <w:r w:rsidR="00AF2070">
        <w:rPr>
          <w:lang w:val="en-US"/>
        </w:rPr>
        <w:t xml:space="preserve">, </w:t>
      </w:r>
      <w:r w:rsidR="00375E0D">
        <w:rPr>
          <w:lang w:val="en-US"/>
        </w:rPr>
        <w:t xml:space="preserve">Sự </w:t>
      </w:r>
      <w:r w:rsidR="00801EBE">
        <w:rPr>
          <w:lang w:val="en-US"/>
        </w:rPr>
        <w:t xml:space="preserve">năng động </w:t>
      </w:r>
      <w:r w:rsidR="00AF2070">
        <w:rPr>
          <w:lang w:val="en-US"/>
        </w:rPr>
        <w:t xml:space="preserve">của chính quyền địa phương </w:t>
      </w:r>
      <w:r w:rsidR="00AF2070" w:rsidRPr="00102B60">
        <w:rPr>
          <w:lang w:val="en-US"/>
        </w:rPr>
        <w:t>(</w:t>
      </w:r>
      <w:r w:rsidR="00AF2070" w:rsidRPr="00102B60">
        <w:rPr>
          <w:lang w:val="en-US"/>
        </w:rPr>
        <w:t xml:space="preserve">SPA </w:t>
      </w:r>
      <w:r w:rsidR="00AF2070" w:rsidRPr="00102B60">
        <w:rPr>
          <w:lang w:val="en-US"/>
        </w:rPr>
        <w:t xml:space="preserve">- </w:t>
      </w:r>
      <w:r w:rsidR="00AF2070" w:rsidRPr="00102B60">
        <w:rPr>
          <w:lang w:val="en-US"/>
        </w:rPr>
        <w:t xml:space="preserve">Proactivity of provincial leadership), </w:t>
      </w:r>
      <w:r w:rsidR="00AF2070" w:rsidRPr="00102B60">
        <w:rPr>
          <w:lang w:val="en-US"/>
        </w:rPr>
        <w:t>Chất lượng lao động (</w:t>
      </w:r>
      <w:r w:rsidR="00AF2070" w:rsidRPr="00102B60">
        <w:rPr>
          <w:lang w:val="en-US"/>
        </w:rPr>
        <w:t xml:space="preserve">SLP </w:t>
      </w:r>
      <w:r w:rsidR="00AF2070" w:rsidRPr="00102B60">
        <w:rPr>
          <w:lang w:val="en-US"/>
        </w:rPr>
        <w:t>-</w:t>
      </w:r>
      <w:r w:rsidR="00AF2070" w:rsidRPr="00102B60">
        <w:rPr>
          <w:lang w:val="en-US"/>
        </w:rPr>
        <w:t xml:space="preserve">labor quality), </w:t>
      </w:r>
      <w:r w:rsidR="00AF2070" w:rsidRPr="00102B60">
        <w:rPr>
          <w:lang w:val="en-US"/>
        </w:rPr>
        <w:t>Khả năng tiếp cận và sử dụng đất (</w:t>
      </w:r>
      <w:r w:rsidR="00AF2070" w:rsidRPr="00102B60">
        <w:rPr>
          <w:lang w:val="en-US"/>
        </w:rPr>
        <w:t xml:space="preserve">SLA </w:t>
      </w:r>
      <w:r w:rsidR="00AF2070" w:rsidRPr="00102B60">
        <w:rPr>
          <w:lang w:val="en-US"/>
        </w:rPr>
        <w:t>-</w:t>
      </w:r>
      <w:r w:rsidR="00AF2070" w:rsidRPr="00102B60">
        <w:rPr>
          <w:lang w:val="en-US"/>
        </w:rPr>
        <w:t xml:space="preserve">land access and security of </w:t>
      </w:r>
      <w:r w:rsidR="00AF2070" w:rsidRPr="00102B60">
        <w:rPr>
          <w:lang w:val="en-US"/>
        </w:rPr>
        <w:lastRenderedPageBreak/>
        <w:t>tenure)</w:t>
      </w:r>
      <w:r w:rsidR="00AF2070" w:rsidRPr="00102B60">
        <w:rPr>
          <w:lang w:val="en-US"/>
        </w:rPr>
        <w:t xml:space="preserve">. Mỗi yếu tố sẽ được đo lường bằng </w:t>
      </w:r>
      <w:r w:rsidR="00102B60" w:rsidRPr="00102B60">
        <w:rPr>
          <w:lang w:val="en-US"/>
        </w:rPr>
        <w:t xml:space="preserve">các chỉ số chi tiết khác nhau, như được mô tả trên đây. Mô hình nghiên cứu chung được thể hiện như </w:t>
      </w:r>
      <w:r w:rsidR="00BD3DB8">
        <w:rPr>
          <w:lang w:val="en-US"/>
        </w:rPr>
        <w:t xml:space="preserve">hình </w:t>
      </w:r>
      <w:r w:rsidR="00102B60" w:rsidRPr="00102B60">
        <w:rPr>
          <w:lang w:val="en-US"/>
        </w:rPr>
        <w:t>dưới đây</w:t>
      </w:r>
    </w:p>
    <w:p w14:paraId="19597832" w14:textId="77777777" w:rsidR="00AF2070" w:rsidRPr="00BA4C4E" w:rsidRDefault="00AF2070" w:rsidP="00AF2070">
      <w:pPr>
        <w:spacing w:line="276" w:lineRule="auto"/>
        <w:rPr>
          <w:sz w:val="22"/>
        </w:rPr>
      </w:pPr>
    </w:p>
    <w:p w14:paraId="1864DE53" w14:textId="77777777" w:rsidR="00AF2070" w:rsidRPr="00BA4C4E" w:rsidRDefault="00AF2070" w:rsidP="00AF2070">
      <w:pPr>
        <w:spacing w:line="276" w:lineRule="auto"/>
        <w:rPr>
          <w:sz w:val="22"/>
        </w:rPr>
      </w:pPr>
    </w:p>
    <w:p w14:paraId="70B1C68E" w14:textId="77777777" w:rsidR="00AF2070" w:rsidRPr="00BA4C4E" w:rsidRDefault="00AF2070" w:rsidP="00AF2070">
      <w:pPr>
        <w:spacing w:line="276" w:lineRule="auto"/>
        <w:rPr>
          <w:sz w:val="22"/>
        </w:rPr>
      </w:pPr>
    </w:p>
    <w:p w14:paraId="6AE1639E" w14:textId="698BFE69" w:rsidR="00840C43" w:rsidRPr="00840C43" w:rsidRDefault="00102B60" w:rsidP="00840C43">
      <w:pPr>
        <w:rPr>
          <w:lang w:val="en-US"/>
        </w:rPr>
      </w:pPr>
      <w:r w:rsidRPr="00BA4C4E">
        <w:rPr>
          <w:noProof/>
          <w:sz w:val="22"/>
        </w:rPr>
        <mc:AlternateContent>
          <mc:Choice Requires="wpg">
            <w:drawing>
              <wp:anchor distT="0" distB="0" distL="114300" distR="114300" simplePos="0" relativeHeight="251659264" behindDoc="0" locked="0" layoutInCell="1" allowOverlap="1" wp14:anchorId="3AAC026C" wp14:editId="3A49C16D">
                <wp:simplePos x="0" y="0"/>
                <wp:positionH relativeFrom="margin">
                  <wp:align>left</wp:align>
                </wp:positionH>
                <wp:positionV relativeFrom="paragraph">
                  <wp:posOffset>-495300</wp:posOffset>
                </wp:positionV>
                <wp:extent cx="5882640" cy="1939290"/>
                <wp:effectExtent l="0" t="0" r="22860" b="22860"/>
                <wp:wrapNone/>
                <wp:docPr id="21" name="Group 21"/>
                <wp:cNvGraphicFramePr/>
                <a:graphic xmlns:a="http://schemas.openxmlformats.org/drawingml/2006/main">
                  <a:graphicData uri="http://schemas.microsoft.com/office/word/2010/wordprocessingGroup">
                    <wpg:wgp>
                      <wpg:cNvGrpSpPr/>
                      <wpg:grpSpPr>
                        <a:xfrm>
                          <a:off x="0" y="0"/>
                          <a:ext cx="5882640" cy="1939290"/>
                          <a:chOff x="0" y="0"/>
                          <a:chExt cx="4853327" cy="1444585"/>
                        </a:xfrm>
                      </wpg:grpSpPr>
                      <wps:wsp>
                        <wps:cNvPr id="2" name="Oval 2"/>
                        <wps:cNvSpPr/>
                        <wps:spPr>
                          <a:xfrm>
                            <a:off x="2679256" y="313326"/>
                            <a:ext cx="920750" cy="581660"/>
                          </a:xfrm>
                          <a:prstGeom prst="ellipse">
                            <a:avLst/>
                          </a:prstGeom>
                        </wps:spPr>
                        <wps:style>
                          <a:lnRef idx="2">
                            <a:schemeClr val="dk1"/>
                          </a:lnRef>
                          <a:fillRef idx="1">
                            <a:schemeClr val="lt1"/>
                          </a:fillRef>
                          <a:effectRef idx="0">
                            <a:schemeClr val="dk1"/>
                          </a:effectRef>
                          <a:fontRef idx="minor">
                            <a:schemeClr val="dk1"/>
                          </a:fontRef>
                        </wps:style>
                        <wps:txbx>
                          <w:txbxContent>
                            <w:p w14:paraId="7FE7468E" w14:textId="77777777" w:rsidR="00102B60" w:rsidRDefault="00102B60" w:rsidP="00102B60">
                              <w:pPr>
                                <w:jc w:val="center"/>
                              </w:pPr>
                              <w:r>
                                <w:t>PCI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4117997" y="332509"/>
                            <a:ext cx="735330" cy="505460"/>
                          </a:xfrm>
                          <a:prstGeom prst="rect">
                            <a:avLst/>
                          </a:prstGeom>
                        </wps:spPr>
                        <wps:style>
                          <a:lnRef idx="2">
                            <a:schemeClr val="dk1"/>
                          </a:lnRef>
                          <a:fillRef idx="1">
                            <a:schemeClr val="lt1"/>
                          </a:fillRef>
                          <a:effectRef idx="0">
                            <a:schemeClr val="dk1"/>
                          </a:effectRef>
                          <a:fontRef idx="minor">
                            <a:schemeClr val="dk1"/>
                          </a:fontRef>
                        </wps:style>
                        <wps:txbx>
                          <w:txbxContent>
                            <w:p w14:paraId="668AA766" w14:textId="77777777" w:rsidR="00102B60" w:rsidRDefault="00102B60" w:rsidP="00102B60">
                              <w:pPr>
                                <w:jc w:val="center"/>
                              </w:pPr>
                              <w:r>
                                <w:t>Growth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7"/>
                        <wps:cNvSpPr/>
                        <wps:spPr>
                          <a:xfrm>
                            <a:off x="1259698" y="19183"/>
                            <a:ext cx="824394" cy="498764"/>
                          </a:xfrm>
                          <a:prstGeom prst="ellipse">
                            <a:avLst/>
                          </a:prstGeom>
                        </wps:spPr>
                        <wps:style>
                          <a:lnRef idx="2">
                            <a:schemeClr val="dk1"/>
                          </a:lnRef>
                          <a:fillRef idx="1">
                            <a:schemeClr val="lt1"/>
                          </a:fillRef>
                          <a:effectRef idx="0">
                            <a:schemeClr val="dk1"/>
                          </a:effectRef>
                          <a:fontRef idx="minor">
                            <a:schemeClr val="dk1"/>
                          </a:fontRef>
                        </wps:style>
                        <wps:txbx>
                          <w:txbxContent>
                            <w:p w14:paraId="7044F0F5" w14:textId="77777777" w:rsidR="00102B60" w:rsidRDefault="00102B60" w:rsidP="00102B60">
                              <w:pPr>
                                <w:jc w:val="center"/>
                              </w:pPr>
                              <w:r>
                                <w:t>PCI1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8"/>
                        <wps:cNvSpPr/>
                        <wps:spPr>
                          <a:xfrm>
                            <a:off x="1259698" y="792906"/>
                            <a:ext cx="830789" cy="498475"/>
                          </a:xfrm>
                          <a:prstGeom prst="ellipse">
                            <a:avLst/>
                          </a:prstGeom>
                        </wps:spPr>
                        <wps:style>
                          <a:lnRef idx="2">
                            <a:schemeClr val="dk1"/>
                          </a:lnRef>
                          <a:fillRef idx="1">
                            <a:schemeClr val="lt1"/>
                          </a:fillRef>
                          <a:effectRef idx="0">
                            <a:schemeClr val="dk1"/>
                          </a:effectRef>
                          <a:fontRef idx="minor">
                            <a:schemeClr val="dk1"/>
                          </a:fontRef>
                        </wps:style>
                        <wps:txbx>
                          <w:txbxContent>
                            <w:p w14:paraId="1FDCDF57" w14:textId="77777777" w:rsidR="00102B60" w:rsidRPr="00221B03" w:rsidRDefault="00102B60" w:rsidP="00102B60">
                              <w:pPr>
                                <w:jc w:val="center"/>
                                <w:rPr>
                                  <w:lang w:val="vi-VN"/>
                                </w:rPr>
                              </w:pPr>
                              <w:r>
                                <w:t>PCI5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6395" y="0"/>
                            <a:ext cx="773723" cy="262171"/>
                          </a:xfrm>
                          <a:prstGeom prst="rect">
                            <a:avLst/>
                          </a:prstGeom>
                        </wps:spPr>
                        <wps:style>
                          <a:lnRef idx="2">
                            <a:schemeClr val="accent3"/>
                          </a:lnRef>
                          <a:fillRef idx="1">
                            <a:schemeClr val="lt1"/>
                          </a:fillRef>
                          <a:effectRef idx="0">
                            <a:schemeClr val="accent3"/>
                          </a:effectRef>
                          <a:fontRef idx="minor">
                            <a:schemeClr val="dk1"/>
                          </a:fontRef>
                        </wps:style>
                        <wps:txbx>
                          <w:txbxContent>
                            <w:p w14:paraId="7770DBA7" w14:textId="77777777" w:rsidR="00102B60" w:rsidRDefault="00102B60" w:rsidP="00102B60">
                              <w:pPr>
                                <w:jc w:val="center"/>
                              </w:pPr>
                              <w:r>
                                <w:t>PCI1.1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396453"/>
                            <a:ext cx="773430" cy="261620"/>
                          </a:xfrm>
                          <a:prstGeom prst="rect">
                            <a:avLst/>
                          </a:prstGeom>
                        </wps:spPr>
                        <wps:style>
                          <a:lnRef idx="2">
                            <a:schemeClr val="accent3"/>
                          </a:lnRef>
                          <a:fillRef idx="1">
                            <a:schemeClr val="lt1"/>
                          </a:fillRef>
                          <a:effectRef idx="0">
                            <a:schemeClr val="accent3"/>
                          </a:effectRef>
                          <a:fontRef idx="minor">
                            <a:schemeClr val="dk1"/>
                          </a:fontRef>
                        </wps:style>
                        <wps:txbx>
                          <w:txbxContent>
                            <w:p w14:paraId="3FA787B6" w14:textId="77777777" w:rsidR="00102B60" w:rsidRDefault="00102B60" w:rsidP="00102B60">
                              <w:pPr>
                                <w:jc w:val="center"/>
                              </w:pPr>
                              <w:r>
                                <w:t>PCI1.n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0" y="812089"/>
                            <a:ext cx="773430" cy="261620"/>
                          </a:xfrm>
                          <a:prstGeom prst="rect">
                            <a:avLst/>
                          </a:prstGeom>
                        </wps:spPr>
                        <wps:style>
                          <a:lnRef idx="2">
                            <a:schemeClr val="accent3"/>
                          </a:lnRef>
                          <a:fillRef idx="1">
                            <a:schemeClr val="lt1"/>
                          </a:fillRef>
                          <a:effectRef idx="0">
                            <a:schemeClr val="accent3"/>
                          </a:effectRef>
                          <a:fontRef idx="minor">
                            <a:schemeClr val="dk1"/>
                          </a:fontRef>
                        </wps:style>
                        <wps:txbx>
                          <w:txbxContent>
                            <w:p w14:paraId="190E1647" w14:textId="77777777" w:rsidR="00102B60" w:rsidRDefault="00102B60" w:rsidP="00102B60">
                              <w:pPr>
                                <w:jc w:val="center"/>
                              </w:pPr>
                              <w:r>
                                <w:t>PCIn.1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0" y="1182965"/>
                            <a:ext cx="773430" cy="261620"/>
                          </a:xfrm>
                          <a:prstGeom prst="rect">
                            <a:avLst/>
                          </a:prstGeom>
                        </wps:spPr>
                        <wps:style>
                          <a:lnRef idx="2">
                            <a:schemeClr val="accent3"/>
                          </a:lnRef>
                          <a:fillRef idx="1">
                            <a:schemeClr val="lt1"/>
                          </a:fillRef>
                          <a:effectRef idx="0">
                            <a:schemeClr val="accent3"/>
                          </a:effectRef>
                          <a:fontRef idx="minor">
                            <a:schemeClr val="dk1"/>
                          </a:fontRef>
                        </wps:style>
                        <wps:txbx>
                          <w:txbxContent>
                            <w:p w14:paraId="4C796E5F" w14:textId="77777777" w:rsidR="00102B60" w:rsidRDefault="00102B60" w:rsidP="00102B60">
                              <w:pPr>
                                <w:jc w:val="center"/>
                              </w:pPr>
                              <w:r>
                                <w:t>PCI5.n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wps:spPr>
                          <a:xfrm>
                            <a:off x="3600051" y="620257"/>
                            <a:ext cx="51799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 name="Straight Arrow Connector 15"/>
                        <wps:cNvCnPr/>
                        <wps:spPr>
                          <a:xfrm>
                            <a:off x="2084576" y="223804"/>
                            <a:ext cx="595328" cy="3325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 name="Straight Arrow Connector 16"/>
                        <wps:cNvCnPr/>
                        <wps:spPr>
                          <a:xfrm flipV="1">
                            <a:off x="2103760" y="703385"/>
                            <a:ext cx="589293" cy="3639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 name="Straight Arrow Connector 17"/>
                        <wps:cNvCnPr/>
                        <wps:spPr>
                          <a:xfrm>
                            <a:off x="780118" y="70338"/>
                            <a:ext cx="479873" cy="15346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Straight Arrow Connector 18"/>
                        <wps:cNvCnPr/>
                        <wps:spPr>
                          <a:xfrm flipV="1">
                            <a:off x="773723" y="332509"/>
                            <a:ext cx="486268" cy="18514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 name="Straight Arrow Connector 19"/>
                        <wps:cNvCnPr/>
                        <wps:spPr>
                          <a:xfrm>
                            <a:off x="773723" y="895217"/>
                            <a:ext cx="486268" cy="1722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Straight Arrow Connector 20"/>
                        <wps:cNvCnPr/>
                        <wps:spPr>
                          <a:xfrm flipV="1">
                            <a:off x="773723" y="1131810"/>
                            <a:ext cx="485775" cy="2174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AAC026C" id="Group 21" o:spid="_x0000_s1026" style="position:absolute;left:0;text-align:left;margin-left:0;margin-top:-39pt;width:463.2pt;height:152.7pt;z-index:251659264;mso-position-horizontal:left;mso-position-horizontal-relative:margin;mso-width-relative:margin;mso-height-relative:margin" coordsize="48533,1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">
                <v:oval id="Oval 2" o:spid="_x0000_s1027" style="position:absolute;left:26792;top:3133;width:9208;height:58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" fillcolor="white [3201]" strokecolor="black [3200]" strokeweight="1pt">
                  <v:stroke joinstyle="miter"/>
                  <v:textbox>
                    <w:txbxContent>
                      <w:p w14:paraId="7FE7468E" w14:textId="77777777" w:rsidR="00102B60" w:rsidRDefault="00102B60" w:rsidP="00102B60">
                        <w:pPr>
                          <w:jc w:val="center"/>
                        </w:pPr>
                        <w:r>
                          <w:t>PCI</w:t>
                        </w:r>
                      </w:p>
                    </w:txbxContent>
                  </v:textbox>
                </v:oval>
                <v:rect id="Rectangle 3" o:spid="_x0000_s1028" style="position:absolute;left:41179;top:3325;width:7354;height:5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" fillcolor="white [3201]" strokecolor="black [3200]" strokeweight="1pt">
                  <v:textbox>
                    <w:txbxContent>
                      <w:p w14:paraId="668AA766" w14:textId="77777777" w:rsidR="00102B60" w:rsidRDefault="00102B60" w:rsidP="00102B60">
                        <w:pPr>
                          <w:jc w:val="center"/>
                        </w:pPr>
                        <w:r>
                          <w:t>Growth</w:t>
                        </w:r>
                      </w:p>
                    </w:txbxContent>
                  </v:textbox>
                </v:rect>
                <v:oval id="Oval 7" o:spid="_x0000_s1029" style="position:absolute;left:12596;top:191;width:8244;height:4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" fillcolor="white [3201]" strokecolor="black [3200]" strokeweight="1pt">
                  <v:stroke joinstyle="miter"/>
                  <v:textbox>
                    <w:txbxContent>
                      <w:p w14:paraId="7044F0F5" w14:textId="77777777" w:rsidR="00102B60" w:rsidRDefault="00102B60" w:rsidP="00102B60">
                        <w:pPr>
                          <w:jc w:val="center"/>
                        </w:pPr>
                        <w:r>
                          <w:t>PCI1</w:t>
                        </w:r>
                      </w:p>
                    </w:txbxContent>
                  </v:textbox>
                </v:oval>
                <v:oval id="Oval 8" o:spid="_x0000_s1030" style="position:absolute;left:12596;top:7929;width:8308;height:49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" fillcolor="white [3201]" strokecolor="black [3200]" strokeweight="1pt">
                  <v:stroke joinstyle="miter"/>
                  <v:textbox>
                    <w:txbxContent>
                      <w:p w14:paraId="1FDCDF57" w14:textId="77777777" w:rsidR="00102B60" w:rsidRPr="00221B03" w:rsidRDefault="00102B60" w:rsidP="00102B60">
                        <w:pPr>
                          <w:jc w:val="center"/>
                          <w:rPr>
                            <w:lang w:val="vi-VN"/>
                          </w:rPr>
                        </w:pPr>
                        <w:r>
                          <w:t>PCI5</w:t>
                        </w:r>
                      </w:p>
                    </w:txbxContent>
                  </v:textbox>
                </v:oval>
                <v:rect id="Rectangle 9" o:spid="_x0000_s1031" style="position:absolute;left:63;width:7738;height:2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" fillcolor="white [3201]" strokecolor="#a5a5a5 [3206]" strokeweight="1pt">
                  <v:textbox>
                    <w:txbxContent>
                      <w:p w14:paraId="7770DBA7" w14:textId="77777777" w:rsidR="00102B60" w:rsidRDefault="00102B60" w:rsidP="00102B60">
                        <w:pPr>
                          <w:jc w:val="center"/>
                        </w:pPr>
                        <w:r>
                          <w:t>PCI1.1</w:t>
                        </w:r>
                      </w:p>
                    </w:txbxContent>
                  </v:textbox>
                </v:rect>
                <v:rect id="Rectangle 10" o:spid="_x0000_s1032" style="position:absolute;top:3964;width:7734;height:2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" fillcolor="white [3201]" strokecolor="#a5a5a5 [3206]" strokeweight="1pt">
                  <v:textbox>
                    <w:txbxContent>
                      <w:p w14:paraId="3FA787B6" w14:textId="77777777" w:rsidR="00102B60" w:rsidRDefault="00102B60" w:rsidP="00102B60">
                        <w:pPr>
                          <w:jc w:val="center"/>
                        </w:pPr>
                        <w:r>
                          <w:t>PCI1.n</w:t>
                        </w:r>
                      </w:p>
                    </w:txbxContent>
                  </v:textbox>
                </v:rect>
                <v:rect id="Rectangle 11" o:spid="_x0000_s1033" style="position:absolute;top:8120;width:7734;height:2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" fillcolor="white [3201]" strokecolor="#a5a5a5 [3206]" strokeweight="1pt">
                  <v:textbox>
                    <w:txbxContent>
                      <w:p w14:paraId="190E1647" w14:textId="77777777" w:rsidR="00102B60" w:rsidRDefault="00102B60" w:rsidP="00102B60">
                        <w:pPr>
                          <w:jc w:val="center"/>
                        </w:pPr>
                        <w:r>
                          <w:t>PCIn.1</w:t>
                        </w:r>
                      </w:p>
                    </w:txbxContent>
                  </v:textbox>
                </v:rect>
                <v:rect id="Rectangle 12" o:spid="_x0000_s1034" style="position:absolute;top:11829;width:7734;height:2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" fillcolor="white [3201]" strokecolor="#a5a5a5 [3206]" strokeweight="1pt">
                  <v:textbox>
                    <w:txbxContent>
                      <w:p w14:paraId="4C796E5F" w14:textId="77777777" w:rsidR="00102B60" w:rsidRDefault="00102B60" w:rsidP="00102B60">
                        <w:pPr>
                          <w:jc w:val="center"/>
                        </w:pPr>
                        <w:r>
                          <w:t>PCI5.n</w:t>
                        </w:r>
                      </w:p>
                    </w:txbxContent>
                  </v:textbox>
                </v:rect>
                <v:shapetype id="_x0000_t32" coordsize="21600,21600" o:spt="32" o:oned="t" path="m,l21600,21600e" filled="f">
                  <v:path arrowok="t" fillok="f" o:connecttype="none"/>
                  <o:lock v:ext="edit" shapetype="t"/>
                </v:shapetype>
                <v:shape id="Straight Arrow Connector 14" o:spid="_x0000_s1035" type="#_x0000_t32" style="position:absolute;left:36000;top:6202;width:51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49hwAAAANsAAAAPAAAAZHJzL2Rvd25yZXYueG1sRE9Li8Iw&#10;EL4v+B/CCN7WVFF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TVOPYcAAAADbAAAADwAAAAAA&#10;AAAAAAAAAAAHAgAAZHJzL2Rvd25yZXYueG1sUEsFBgAAAAADAAMAtwAAAPQCAAAAAA==&#10;" strokecolor="black [3200]" strokeweight=".5pt">
                  <v:stroke endarrow="block" joinstyle="miter"/>
                </v:shape>
                <v:shape id="Straight Arrow Connector 15" o:spid="_x0000_s1036" type="#_x0000_t32" style="position:absolute;left:20845;top:2238;width:5954;height:3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" strokecolor="black [3200]" strokeweight=".5pt">
                  <v:stroke endarrow="block" joinstyle="miter"/>
                </v:shape>
                <v:shape id="Straight Arrow Connector 16" o:spid="_x0000_s1037" type="#_x0000_t32" style="position:absolute;left:21037;top:7033;width:5893;height:36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" strokecolor="black [3200]" strokeweight=".5pt">
                  <v:stroke endarrow="block" joinstyle="miter"/>
                </v:shape>
                <v:shape id="Straight Arrow Connector 17" o:spid="_x0000_s1038" type="#_x0000_t32" style="position:absolute;left:7801;top:703;width:4798;height:1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" strokecolor="black [3200]" strokeweight=".5pt">
                  <v:stroke endarrow="block" joinstyle="miter"/>
                </v:shape>
                <v:shape id="Straight Arrow Connector 18" o:spid="_x0000_s1039" type="#_x0000_t32" style="position:absolute;left:7737;top:3325;width:4862;height:18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" strokecolor="black [3200]" strokeweight=".5pt">
                  <v:stroke endarrow="block" joinstyle="miter"/>
                </v:shape>
                <v:shape id="Straight Arrow Connector 19" o:spid="_x0000_s1040" type="#_x0000_t32" style="position:absolute;left:7737;top:8952;width:4862;height:17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" strokecolor="black [3200]" strokeweight=".5pt">
                  <v:stroke endarrow="block" joinstyle="miter"/>
                </v:shape>
                <v:shape id="Straight Arrow Connector 20" o:spid="_x0000_s1041" type="#_x0000_t32" style="position:absolute;left:7737;top:11318;width:4857;height:21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" strokecolor="black [3200]" strokeweight=".5pt">
                  <v:stroke endarrow="block" joinstyle="miter"/>
                </v:shape>
                <w10:wrap anchorx="margin"/>
              </v:group>
            </w:pict>
          </mc:Fallback>
        </mc:AlternateContent>
      </w:r>
    </w:p>
    <w:p w14:paraId="1672B067" w14:textId="0A0C91B9" w:rsidR="00505DE0" w:rsidRDefault="00781E0B" w:rsidP="00061D48">
      <w:pPr>
        <w:rPr>
          <w:noProof/>
          <w:lang w:val="en-US"/>
        </w:rPr>
      </w:pPr>
      <w:r>
        <w:rPr>
          <w:noProof/>
          <w:lang w:val="en-US"/>
        </w:rPr>
        <w:t xml:space="preserve"> </w:t>
      </w:r>
    </w:p>
    <w:p w14:paraId="6AE71F6D" w14:textId="77777777" w:rsidR="00D0697A" w:rsidRDefault="00D0697A" w:rsidP="00F407CA">
      <w:pPr>
        <w:rPr>
          <w:color w:val="000000"/>
        </w:rPr>
      </w:pPr>
    </w:p>
    <w:p w14:paraId="39D55B35" w14:textId="7CE97008" w:rsidR="00314F2A" w:rsidRPr="00335750" w:rsidRDefault="00314F2A" w:rsidP="00F407CA">
      <w:pPr>
        <w:rPr>
          <w:lang w:val="en-US"/>
        </w:rPr>
      </w:pPr>
    </w:p>
    <w:p w14:paraId="4A6CA415" w14:textId="224A8300" w:rsidR="001D0FF4" w:rsidRDefault="001D0FF4" w:rsidP="001D0FF4">
      <w:pPr>
        <w:rPr>
          <w:rFonts w:cs="Times New Roman"/>
          <w:szCs w:val="26"/>
          <w:lang w:val="en-US"/>
        </w:rPr>
      </w:pPr>
    </w:p>
    <w:p w14:paraId="1F905831" w14:textId="6DEF7733" w:rsidR="004A3A10" w:rsidRDefault="00F934BD" w:rsidP="001D0FF4">
      <w:pPr>
        <w:rPr>
          <w:rFonts w:cs="Times New Roman"/>
          <w:szCs w:val="26"/>
          <w:lang w:val="en-US"/>
        </w:rPr>
      </w:pPr>
      <w:r>
        <w:rPr>
          <w:rFonts w:cs="Times New Roman"/>
          <w:szCs w:val="26"/>
          <w:lang w:val="en-US"/>
        </w:rPr>
        <w:tab/>
        <w:t>Hình 1. Mô hình nghiên cứu</w:t>
      </w:r>
    </w:p>
    <w:p w14:paraId="16BCC043" w14:textId="77777777" w:rsidR="00F934BD" w:rsidRDefault="00F934BD" w:rsidP="001D0FF4">
      <w:pPr>
        <w:rPr>
          <w:rFonts w:cs="Times New Roman"/>
          <w:szCs w:val="26"/>
          <w:lang w:val="en-US"/>
        </w:rPr>
      </w:pPr>
    </w:p>
    <w:p w14:paraId="17A2ED6E" w14:textId="245DF429" w:rsidR="00A80F09" w:rsidRDefault="00702E98" w:rsidP="001D0FF4">
      <w:pPr>
        <w:rPr>
          <w:rFonts w:cs="Times New Roman"/>
          <w:szCs w:val="26"/>
          <w:lang w:val="en-US"/>
        </w:rPr>
      </w:pPr>
      <w:r>
        <w:rPr>
          <w:rFonts w:cs="Times New Roman"/>
          <w:szCs w:val="26"/>
          <w:lang w:val="en-US"/>
        </w:rPr>
        <w:tab/>
        <w:t xml:space="preserve">Mô hình trên được ước lượng bằng cách sử dụng phương pháp PLS SEM. Phương pháp này được thực hiện qua hai giai đoạn: Ước lượng mô hình đo lường và ước lượng mô hình cấu trúc. </w:t>
      </w:r>
      <w:r w:rsidR="00F415B9">
        <w:rPr>
          <w:rFonts w:cs="Times New Roman"/>
          <w:szCs w:val="26"/>
          <w:lang w:val="en-US"/>
        </w:rPr>
        <w:t xml:space="preserve">Một trong những hướng hiện đại của PLS SEM là xây dựng ma trận IPM. Ma trận này kết hợp tác động toàn thể (thể hiên tầm quan trọng) và khả năng thực hiện (performance) của các nhân tố ẩn (latent variable score). Chi tiết về phương pháp này có thể xem tại </w:t>
      </w:r>
      <w:r w:rsidR="00F415B9" w:rsidRPr="002B4654">
        <w:rPr>
          <w:rFonts w:cs="Times New Roman"/>
          <w:szCs w:val="26"/>
          <w:lang w:val="en-US"/>
        </w:rPr>
        <w:t>(Ringle &amp; Sarstedt, 2016).</w:t>
      </w:r>
    </w:p>
    <w:p w14:paraId="436C994B" w14:textId="1435362E" w:rsidR="002B4654" w:rsidRDefault="002B4654" w:rsidP="002B4654">
      <w:pPr>
        <w:pStyle w:val="Heading1"/>
        <w:rPr>
          <w:lang w:val="en-US"/>
        </w:rPr>
      </w:pPr>
      <w:r>
        <w:rPr>
          <w:lang w:val="en-US"/>
        </w:rPr>
        <w:t>Kết quả phân tích</w:t>
      </w:r>
    </w:p>
    <w:p w14:paraId="586C2E2B" w14:textId="622890FF" w:rsidR="002B4654" w:rsidRDefault="00F56B47" w:rsidP="00801EBE">
      <w:pPr>
        <w:ind w:firstLine="720"/>
        <w:rPr>
          <w:lang w:val="en-US"/>
        </w:rPr>
      </w:pPr>
      <w:r>
        <w:rPr>
          <w:lang w:val="en-US"/>
        </w:rPr>
        <w:t>Trước hết, độ tin cậy của các chỉ số chi tiết được kiểm tra bằng cách sử dụng Cronbach’s Alpha. Kết quả được thể hiện trong bảng sau (</w:t>
      </w:r>
      <w:r w:rsidRPr="00F56B47">
        <w:rPr>
          <w:highlight w:val="yellow"/>
          <w:lang w:val="en-US"/>
        </w:rPr>
        <w:t>quan trọng: số lượng chỉ số chi tiết cho mỗi yếu tố có giống như trong thiết kế của PCI không hay ít hơn. Nếu ít hơn thì vì sau bỏ ra, có phải vì kiểm tra crobach không đạt nên bỏ ra?</w:t>
      </w:r>
      <w:r>
        <w:rPr>
          <w:highlight w:val="yellow"/>
          <w:lang w:val="en-US"/>
        </w:rPr>
        <w:t xml:space="preserve"> Hay bỏ ra chủ quan, nếu bỏ ra chủ quan thì dựa vào nguyên tắc nào?</w:t>
      </w:r>
      <w:r w:rsidRPr="00F56B47">
        <w:rPr>
          <w:highlight w:val="yellow"/>
          <w:lang w:val="en-US"/>
        </w:rPr>
        <w:t>)</w:t>
      </w:r>
    </w:p>
    <w:p w14:paraId="494F6B7D" w14:textId="77777777" w:rsidR="00F934BD" w:rsidRDefault="00F934BD" w:rsidP="002B4654">
      <w:pPr>
        <w:rPr>
          <w:lang w:val="en-US"/>
        </w:rPr>
      </w:pPr>
    </w:p>
    <w:p w14:paraId="51D91D3E" w14:textId="49E912ED" w:rsidR="00F56B47" w:rsidRPr="00F934BD" w:rsidRDefault="00213914" w:rsidP="00F56B47">
      <w:pPr>
        <w:spacing w:line="276" w:lineRule="auto"/>
        <w:jc w:val="center"/>
        <w:rPr>
          <w:b/>
          <w:szCs w:val="26"/>
        </w:rPr>
      </w:pPr>
      <w:r w:rsidRPr="00F934BD">
        <w:rPr>
          <w:bCs/>
          <w:szCs w:val="26"/>
        </w:rPr>
        <w:lastRenderedPageBreak/>
        <w:t>Bảng</w:t>
      </w:r>
      <w:r w:rsidR="00B6026E" w:rsidRPr="00F934BD">
        <w:rPr>
          <w:bCs/>
          <w:szCs w:val="26"/>
        </w:rPr>
        <w:t xml:space="preserve"> 1</w:t>
      </w:r>
      <w:r w:rsidR="00F56B47" w:rsidRPr="00F934BD">
        <w:rPr>
          <w:bCs/>
          <w:szCs w:val="26"/>
        </w:rPr>
        <w:t xml:space="preserve">: </w:t>
      </w:r>
      <w:r w:rsidR="00F56B47" w:rsidRPr="00F934BD">
        <w:rPr>
          <w:noProof/>
          <w:szCs w:val="26"/>
          <w:lang w:val="vi-VN"/>
        </w:rPr>
        <w:t>Cronbach’s</w:t>
      </w:r>
      <w:r w:rsidR="00F56B47" w:rsidRPr="00F934BD">
        <w:rPr>
          <w:szCs w:val="26"/>
          <w:lang w:val="vi-VN"/>
        </w:rPr>
        <w:t xml:space="preserve"> alpha.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5026"/>
        <w:gridCol w:w="1560"/>
        <w:gridCol w:w="1517"/>
      </w:tblGrid>
      <w:tr w:rsidR="00F56B47" w:rsidRPr="00F934BD" w14:paraId="6264FECF" w14:textId="77777777" w:rsidTr="00D7091C">
        <w:trPr>
          <w:jc w:val="center"/>
        </w:trPr>
        <w:tc>
          <w:tcPr>
            <w:tcW w:w="644" w:type="dxa"/>
            <w:shd w:val="clear" w:color="auto" w:fill="auto"/>
          </w:tcPr>
          <w:p w14:paraId="1143C591" w14:textId="77777777" w:rsidR="00F56B47" w:rsidRPr="00F934BD" w:rsidRDefault="00F56B47" w:rsidP="00D7091C">
            <w:pPr>
              <w:spacing w:line="276" w:lineRule="auto"/>
              <w:jc w:val="center"/>
              <w:rPr>
                <w:b/>
                <w:bCs/>
                <w:szCs w:val="26"/>
              </w:rPr>
            </w:pPr>
            <w:r w:rsidRPr="00F934BD">
              <w:rPr>
                <w:b/>
                <w:bCs/>
                <w:szCs w:val="26"/>
              </w:rPr>
              <w:t>No.</w:t>
            </w:r>
          </w:p>
        </w:tc>
        <w:tc>
          <w:tcPr>
            <w:tcW w:w="5026" w:type="dxa"/>
            <w:shd w:val="clear" w:color="auto" w:fill="auto"/>
          </w:tcPr>
          <w:p w14:paraId="6FFF10AF" w14:textId="01B49394" w:rsidR="00F56B47" w:rsidRPr="00F934BD" w:rsidRDefault="00F56B47" w:rsidP="00D7091C">
            <w:pPr>
              <w:spacing w:line="276" w:lineRule="auto"/>
              <w:jc w:val="center"/>
              <w:rPr>
                <w:b/>
                <w:bCs/>
                <w:szCs w:val="26"/>
              </w:rPr>
            </w:pPr>
            <w:r w:rsidRPr="00F934BD">
              <w:rPr>
                <w:b/>
                <w:bCs/>
                <w:szCs w:val="26"/>
              </w:rPr>
              <w:t>Mô tả</w:t>
            </w:r>
          </w:p>
        </w:tc>
        <w:tc>
          <w:tcPr>
            <w:tcW w:w="1560" w:type="dxa"/>
            <w:shd w:val="clear" w:color="auto" w:fill="auto"/>
          </w:tcPr>
          <w:p w14:paraId="272FEE94" w14:textId="2641CF87" w:rsidR="00F56B47" w:rsidRPr="00F934BD" w:rsidRDefault="00F56B47" w:rsidP="00D7091C">
            <w:pPr>
              <w:spacing w:line="276" w:lineRule="auto"/>
              <w:jc w:val="center"/>
              <w:rPr>
                <w:b/>
                <w:bCs/>
                <w:szCs w:val="26"/>
              </w:rPr>
            </w:pPr>
            <w:r w:rsidRPr="00F934BD">
              <w:rPr>
                <w:b/>
                <w:bCs/>
                <w:szCs w:val="26"/>
              </w:rPr>
              <w:t>Số lượng chỉ số</w:t>
            </w:r>
          </w:p>
        </w:tc>
        <w:tc>
          <w:tcPr>
            <w:tcW w:w="1410" w:type="dxa"/>
            <w:shd w:val="clear" w:color="auto" w:fill="auto"/>
          </w:tcPr>
          <w:p w14:paraId="74E077E8" w14:textId="77777777" w:rsidR="00F56B47" w:rsidRPr="00F934BD" w:rsidRDefault="00F56B47" w:rsidP="00D7091C">
            <w:pPr>
              <w:spacing w:line="276" w:lineRule="auto"/>
              <w:jc w:val="center"/>
              <w:rPr>
                <w:b/>
                <w:bCs/>
                <w:szCs w:val="26"/>
                <w:lang w:val="vi-VN"/>
              </w:rPr>
            </w:pPr>
            <w:r w:rsidRPr="00F934BD">
              <w:rPr>
                <w:b/>
                <w:bCs/>
                <w:noProof/>
                <w:szCs w:val="26"/>
                <w:lang w:val="vi-VN"/>
              </w:rPr>
              <w:t>Cronbach’s</w:t>
            </w:r>
            <w:r w:rsidRPr="00F934BD">
              <w:rPr>
                <w:b/>
                <w:bCs/>
                <w:szCs w:val="26"/>
                <w:lang w:val="vi-VN"/>
              </w:rPr>
              <w:t xml:space="preserve"> alpha</w:t>
            </w:r>
          </w:p>
        </w:tc>
      </w:tr>
      <w:tr w:rsidR="00F56B47" w:rsidRPr="00F934BD" w14:paraId="446CDF62" w14:textId="77777777" w:rsidTr="00D7091C">
        <w:trPr>
          <w:jc w:val="center"/>
        </w:trPr>
        <w:tc>
          <w:tcPr>
            <w:tcW w:w="644" w:type="dxa"/>
            <w:shd w:val="clear" w:color="auto" w:fill="auto"/>
          </w:tcPr>
          <w:p w14:paraId="57902B08" w14:textId="77777777" w:rsidR="00F56B47" w:rsidRPr="00F934BD" w:rsidRDefault="00F56B47" w:rsidP="00D7091C">
            <w:pPr>
              <w:spacing w:line="276" w:lineRule="auto"/>
              <w:jc w:val="center"/>
              <w:rPr>
                <w:szCs w:val="26"/>
                <w:lang w:val="vi-VN"/>
              </w:rPr>
            </w:pPr>
            <w:r w:rsidRPr="00F934BD">
              <w:rPr>
                <w:szCs w:val="26"/>
                <w:lang w:val="vi-VN"/>
              </w:rPr>
              <w:t>1</w:t>
            </w:r>
          </w:p>
        </w:tc>
        <w:tc>
          <w:tcPr>
            <w:tcW w:w="5026" w:type="dxa"/>
            <w:shd w:val="clear" w:color="auto" w:fill="auto"/>
          </w:tcPr>
          <w:p w14:paraId="50CFB7F5" w14:textId="77777777" w:rsidR="00F56B47" w:rsidRPr="00F934BD" w:rsidRDefault="00F56B47" w:rsidP="00D7091C">
            <w:pPr>
              <w:spacing w:line="276" w:lineRule="auto"/>
              <w:jc w:val="center"/>
              <w:rPr>
                <w:szCs w:val="26"/>
                <w:lang w:val="vi-VN"/>
              </w:rPr>
            </w:pPr>
            <w:r w:rsidRPr="00F934BD">
              <w:rPr>
                <w:szCs w:val="26"/>
              </w:rPr>
              <w:t>SLO</w:t>
            </w:r>
            <w:r w:rsidRPr="00F934BD">
              <w:rPr>
                <w:szCs w:val="26"/>
                <w:lang w:val="vi-VN"/>
              </w:rPr>
              <w:t xml:space="preserve"> (law and order)</w:t>
            </w:r>
          </w:p>
        </w:tc>
        <w:tc>
          <w:tcPr>
            <w:tcW w:w="1560" w:type="dxa"/>
            <w:shd w:val="clear" w:color="auto" w:fill="auto"/>
          </w:tcPr>
          <w:p w14:paraId="4BD11AFA" w14:textId="77777777" w:rsidR="00F56B47" w:rsidRPr="00F934BD" w:rsidRDefault="00F56B47" w:rsidP="00D7091C">
            <w:pPr>
              <w:spacing w:line="276" w:lineRule="auto"/>
              <w:jc w:val="center"/>
              <w:rPr>
                <w:szCs w:val="26"/>
                <w:lang w:val="vi-VN"/>
              </w:rPr>
            </w:pPr>
            <w:r w:rsidRPr="00F934BD">
              <w:rPr>
                <w:szCs w:val="26"/>
                <w:lang w:val="vi-VN"/>
              </w:rPr>
              <w:t>07</w:t>
            </w:r>
          </w:p>
        </w:tc>
        <w:tc>
          <w:tcPr>
            <w:tcW w:w="1410" w:type="dxa"/>
            <w:shd w:val="clear" w:color="auto" w:fill="auto"/>
          </w:tcPr>
          <w:p w14:paraId="3004D505" w14:textId="77777777" w:rsidR="00F56B47" w:rsidRPr="00F934BD" w:rsidRDefault="00F56B47" w:rsidP="00D7091C">
            <w:pPr>
              <w:spacing w:line="276" w:lineRule="auto"/>
              <w:jc w:val="center"/>
              <w:rPr>
                <w:szCs w:val="26"/>
                <w:lang w:val="vi-VN"/>
              </w:rPr>
            </w:pPr>
            <w:r w:rsidRPr="00F934BD">
              <w:rPr>
                <w:szCs w:val="26"/>
                <w:lang w:val="vi-VN"/>
              </w:rPr>
              <w:t>0.905</w:t>
            </w:r>
          </w:p>
        </w:tc>
      </w:tr>
      <w:tr w:rsidR="00F56B47" w:rsidRPr="00F934BD" w14:paraId="531C4097" w14:textId="77777777" w:rsidTr="00D7091C">
        <w:trPr>
          <w:jc w:val="center"/>
        </w:trPr>
        <w:tc>
          <w:tcPr>
            <w:tcW w:w="644" w:type="dxa"/>
            <w:shd w:val="clear" w:color="auto" w:fill="auto"/>
          </w:tcPr>
          <w:p w14:paraId="1FC27FC8" w14:textId="77777777" w:rsidR="00F56B47" w:rsidRPr="00F934BD" w:rsidRDefault="00F56B47" w:rsidP="00D7091C">
            <w:pPr>
              <w:spacing w:line="276" w:lineRule="auto"/>
              <w:jc w:val="center"/>
              <w:rPr>
                <w:szCs w:val="26"/>
                <w:lang w:val="vi-VN"/>
              </w:rPr>
            </w:pPr>
            <w:r w:rsidRPr="00F934BD">
              <w:rPr>
                <w:szCs w:val="26"/>
                <w:lang w:val="vi-VN"/>
              </w:rPr>
              <w:t>2</w:t>
            </w:r>
          </w:p>
        </w:tc>
        <w:tc>
          <w:tcPr>
            <w:tcW w:w="5026" w:type="dxa"/>
            <w:shd w:val="clear" w:color="auto" w:fill="auto"/>
          </w:tcPr>
          <w:p w14:paraId="03ACD295" w14:textId="77777777" w:rsidR="00F56B47" w:rsidRPr="00F934BD" w:rsidRDefault="00F56B47" w:rsidP="00D7091C">
            <w:pPr>
              <w:spacing w:line="276" w:lineRule="auto"/>
              <w:jc w:val="center"/>
              <w:rPr>
                <w:szCs w:val="26"/>
                <w:lang w:val="vi-VN"/>
              </w:rPr>
            </w:pPr>
            <w:r w:rsidRPr="00F934BD">
              <w:rPr>
                <w:szCs w:val="26"/>
              </w:rPr>
              <w:t>STC</w:t>
            </w:r>
            <w:r w:rsidRPr="00F934BD">
              <w:rPr>
                <w:szCs w:val="26"/>
                <w:lang w:val="vi-VN"/>
              </w:rPr>
              <w:t xml:space="preserve"> (</w:t>
            </w:r>
            <w:r w:rsidRPr="00F934BD">
              <w:rPr>
                <w:szCs w:val="26"/>
              </w:rPr>
              <w:t>time costs</w:t>
            </w:r>
            <w:r w:rsidRPr="00F934BD">
              <w:rPr>
                <w:szCs w:val="26"/>
                <w:lang w:val="vi-VN"/>
              </w:rPr>
              <w:t xml:space="preserve"> and regulatory compliance)</w:t>
            </w:r>
          </w:p>
        </w:tc>
        <w:tc>
          <w:tcPr>
            <w:tcW w:w="1560" w:type="dxa"/>
            <w:shd w:val="clear" w:color="auto" w:fill="auto"/>
          </w:tcPr>
          <w:p w14:paraId="18175714" w14:textId="77777777" w:rsidR="00F56B47" w:rsidRPr="00F934BD" w:rsidRDefault="00F56B47" w:rsidP="00D7091C">
            <w:pPr>
              <w:spacing w:line="276" w:lineRule="auto"/>
              <w:ind w:left="45"/>
              <w:jc w:val="center"/>
              <w:rPr>
                <w:szCs w:val="26"/>
                <w:lang w:val="vi-VN"/>
              </w:rPr>
            </w:pPr>
            <w:r w:rsidRPr="00F934BD">
              <w:rPr>
                <w:szCs w:val="26"/>
                <w:lang w:val="vi-VN"/>
              </w:rPr>
              <w:t>05</w:t>
            </w:r>
          </w:p>
        </w:tc>
        <w:tc>
          <w:tcPr>
            <w:tcW w:w="1410" w:type="dxa"/>
            <w:shd w:val="clear" w:color="auto" w:fill="auto"/>
          </w:tcPr>
          <w:p w14:paraId="52744F8A" w14:textId="77777777" w:rsidR="00F56B47" w:rsidRPr="00F934BD" w:rsidRDefault="00F56B47" w:rsidP="00D7091C">
            <w:pPr>
              <w:spacing w:line="276" w:lineRule="auto"/>
              <w:jc w:val="center"/>
              <w:rPr>
                <w:szCs w:val="26"/>
                <w:lang w:val="vi-VN"/>
              </w:rPr>
            </w:pPr>
            <w:r w:rsidRPr="00F934BD">
              <w:rPr>
                <w:szCs w:val="26"/>
                <w:lang w:val="vi-VN"/>
              </w:rPr>
              <w:t>0.885</w:t>
            </w:r>
          </w:p>
        </w:tc>
      </w:tr>
      <w:tr w:rsidR="00F56B47" w:rsidRPr="00F934BD" w14:paraId="0E010383" w14:textId="77777777" w:rsidTr="00D7091C">
        <w:trPr>
          <w:jc w:val="center"/>
        </w:trPr>
        <w:tc>
          <w:tcPr>
            <w:tcW w:w="644" w:type="dxa"/>
            <w:shd w:val="clear" w:color="auto" w:fill="auto"/>
          </w:tcPr>
          <w:p w14:paraId="7DE6CA6D" w14:textId="77777777" w:rsidR="00F56B47" w:rsidRPr="00F934BD" w:rsidRDefault="00F56B47" w:rsidP="00D7091C">
            <w:pPr>
              <w:spacing w:line="276" w:lineRule="auto"/>
              <w:jc w:val="center"/>
              <w:rPr>
                <w:szCs w:val="26"/>
                <w:lang w:val="vi-VN"/>
              </w:rPr>
            </w:pPr>
            <w:r w:rsidRPr="00F934BD">
              <w:rPr>
                <w:szCs w:val="26"/>
                <w:lang w:val="vi-VN"/>
              </w:rPr>
              <w:t>3</w:t>
            </w:r>
          </w:p>
        </w:tc>
        <w:tc>
          <w:tcPr>
            <w:tcW w:w="5026" w:type="dxa"/>
            <w:shd w:val="clear" w:color="auto" w:fill="auto"/>
          </w:tcPr>
          <w:p w14:paraId="19F0B52E" w14:textId="77777777" w:rsidR="00F56B47" w:rsidRPr="00F934BD" w:rsidRDefault="00F56B47" w:rsidP="00D7091C">
            <w:pPr>
              <w:spacing w:line="276" w:lineRule="auto"/>
              <w:jc w:val="center"/>
              <w:rPr>
                <w:szCs w:val="26"/>
                <w:lang w:val="vi-VN"/>
              </w:rPr>
            </w:pPr>
            <w:r w:rsidRPr="00F934BD">
              <w:rPr>
                <w:szCs w:val="26"/>
              </w:rPr>
              <w:t>SPA</w:t>
            </w:r>
            <w:r w:rsidRPr="00F934BD">
              <w:rPr>
                <w:szCs w:val="26"/>
                <w:lang w:val="vi-VN"/>
              </w:rPr>
              <w:t xml:space="preserve"> (</w:t>
            </w:r>
            <w:r w:rsidRPr="00F934BD">
              <w:rPr>
                <w:szCs w:val="26"/>
              </w:rPr>
              <w:t>proactivity</w:t>
            </w:r>
            <w:r w:rsidRPr="00F934BD">
              <w:rPr>
                <w:szCs w:val="26"/>
                <w:lang w:val="vi-VN"/>
              </w:rPr>
              <w:t xml:space="preserve"> of provincial leadership)</w:t>
            </w:r>
          </w:p>
        </w:tc>
        <w:tc>
          <w:tcPr>
            <w:tcW w:w="1560" w:type="dxa"/>
            <w:shd w:val="clear" w:color="auto" w:fill="auto"/>
          </w:tcPr>
          <w:p w14:paraId="426369AC" w14:textId="77777777" w:rsidR="00F56B47" w:rsidRPr="00F934BD" w:rsidRDefault="00F56B47" w:rsidP="00D7091C">
            <w:pPr>
              <w:autoSpaceDE w:val="0"/>
              <w:autoSpaceDN w:val="0"/>
              <w:adjustRightInd w:val="0"/>
              <w:spacing w:line="276" w:lineRule="auto"/>
              <w:ind w:left="45"/>
              <w:jc w:val="center"/>
              <w:rPr>
                <w:szCs w:val="26"/>
              </w:rPr>
            </w:pPr>
            <w:r w:rsidRPr="00F934BD">
              <w:rPr>
                <w:szCs w:val="26"/>
              </w:rPr>
              <w:t>04</w:t>
            </w:r>
          </w:p>
        </w:tc>
        <w:tc>
          <w:tcPr>
            <w:tcW w:w="1410" w:type="dxa"/>
            <w:shd w:val="clear" w:color="auto" w:fill="auto"/>
          </w:tcPr>
          <w:p w14:paraId="7AD9BBA8" w14:textId="77777777" w:rsidR="00F56B47" w:rsidRPr="00F934BD" w:rsidRDefault="00F56B47" w:rsidP="00D7091C">
            <w:pPr>
              <w:spacing w:line="276" w:lineRule="auto"/>
              <w:jc w:val="center"/>
              <w:rPr>
                <w:szCs w:val="26"/>
                <w:lang w:val="vi-VN"/>
              </w:rPr>
            </w:pPr>
            <w:r w:rsidRPr="00F934BD">
              <w:rPr>
                <w:szCs w:val="26"/>
                <w:lang w:val="vi-VN"/>
              </w:rPr>
              <w:t>0.845</w:t>
            </w:r>
          </w:p>
        </w:tc>
      </w:tr>
      <w:tr w:rsidR="00F56B47" w:rsidRPr="00F934BD" w14:paraId="44B5C0CC" w14:textId="77777777" w:rsidTr="00D7091C">
        <w:trPr>
          <w:jc w:val="center"/>
        </w:trPr>
        <w:tc>
          <w:tcPr>
            <w:tcW w:w="644" w:type="dxa"/>
            <w:shd w:val="clear" w:color="auto" w:fill="auto"/>
          </w:tcPr>
          <w:p w14:paraId="57F06638" w14:textId="77777777" w:rsidR="00F56B47" w:rsidRPr="00F934BD" w:rsidRDefault="00F56B47" w:rsidP="00D7091C">
            <w:pPr>
              <w:spacing w:line="276" w:lineRule="auto"/>
              <w:jc w:val="center"/>
              <w:rPr>
                <w:szCs w:val="26"/>
                <w:lang w:val="vi-VN"/>
              </w:rPr>
            </w:pPr>
            <w:r w:rsidRPr="00F934BD">
              <w:rPr>
                <w:szCs w:val="26"/>
                <w:lang w:val="vi-VN"/>
              </w:rPr>
              <w:t>4</w:t>
            </w:r>
          </w:p>
        </w:tc>
        <w:tc>
          <w:tcPr>
            <w:tcW w:w="5026" w:type="dxa"/>
            <w:shd w:val="clear" w:color="auto" w:fill="auto"/>
          </w:tcPr>
          <w:p w14:paraId="3C8E63F0" w14:textId="77777777" w:rsidR="00F56B47" w:rsidRPr="00F934BD" w:rsidRDefault="00F56B47" w:rsidP="00D7091C">
            <w:pPr>
              <w:spacing w:line="276" w:lineRule="auto"/>
              <w:jc w:val="center"/>
              <w:rPr>
                <w:szCs w:val="26"/>
                <w:lang w:val="vi-VN"/>
              </w:rPr>
            </w:pPr>
            <w:r w:rsidRPr="00F934BD">
              <w:rPr>
                <w:szCs w:val="26"/>
              </w:rPr>
              <w:t>SLP</w:t>
            </w:r>
            <w:r w:rsidRPr="00F934BD">
              <w:rPr>
                <w:szCs w:val="26"/>
                <w:lang w:val="vi-VN"/>
              </w:rPr>
              <w:t xml:space="preserve"> (</w:t>
            </w:r>
            <w:r w:rsidRPr="00F934BD">
              <w:rPr>
                <w:szCs w:val="26"/>
              </w:rPr>
              <w:t>labor quality</w:t>
            </w:r>
            <w:r w:rsidRPr="00F934BD">
              <w:rPr>
                <w:szCs w:val="26"/>
                <w:lang w:val="vi-VN"/>
              </w:rPr>
              <w:t>)</w:t>
            </w:r>
          </w:p>
        </w:tc>
        <w:tc>
          <w:tcPr>
            <w:tcW w:w="1560" w:type="dxa"/>
            <w:shd w:val="clear" w:color="auto" w:fill="auto"/>
          </w:tcPr>
          <w:p w14:paraId="3D9CAFC0" w14:textId="77777777" w:rsidR="00F56B47" w:rsidRPr="00F934BD" w:rsidRDefault="00F56B47" w:rsidP="00D7091C">
            <w:pPr>
              <w:autoSpaceDE w:val="0"/>
              <w:autoSpaceDN w:val="0"/>
              <w:adjustRightInd w:val="0"/>
              <w:spacing w:line="276" w:lineRule="auto"/>
              <w:ind w:left="45"/>
              <w:jc w:val="center"/>
              <w:rPr>
                <w:szCs w:val="26"/>
              </w:rPr>
            </w:pPr>
            <w:r w:rsidRPr="00F934BD">
              <w:rPr>
                <w:szCs w:val="26"/>
              </w:rPr>
              <w:t>03</w:t>
            </w:r>
          </w:p>
        </w:tc>
        <w:tc>
          <w:tcPr>
            <w:tcW w:w="1410" w:type="dxa"/>
            <w:shd w:val="clear" w:color="auto" w:fill="auto"/>
          </w:tcPr>
          <w:p w14:paraId="3F0F301E" w14:textId="77777777" w:rsidR="00F56B47" w:rsidRPr="00F934BD" w:rsidRDefault="00F56B47" w:rsidP="00D7091C">
            <w:pPr>
              <w:spacing w:line="276" w:lineRule="auto"/>
              <w:jc w:val="center"/>
              <w:rPr>
                <w:szCs w:val="26"/>
                <w:lang w:val="vi-VN"/>
              </w:rPr>
            </w:pPr>
            <w:r w:rsidRPr="00F934BD">
              <w:rPr>
                <w:szCs w:val="26"/>
                <w:lang w:val="vi-VN"/>
              </w:rPr>
              <w:t>0.789</w:t>
            </w:r>
          </w:p>
        </w:tc>
      </w:tr>
      <w:tr w:rsidR="00F56B47" w:rsidRPr="00F934BD" w14:paraId="6C2FE3E4" w14:textId="77777777" w:rsidTr="00D7091C">
        <w:trPr>
          <w:jc w:val="center"/>
        </w:trPr>
        <w:tc>
          <w:tcPr>
            <w:tcW w:w="644" w:type="dxa"/>
            <w:shd w:val="clear" w:color="auto" w:fill="auto"/>
          </w:tcPr>
          <w:p w14:paraId="0BB21A0B" w14:textId="77777777" w:rsidR="00F56B47" w:rsidRPr="00F934BD" w:rsidRDefault="00F56B47" w:rsidP="00D7091C">
            <w:pPr>
              <w:spacing w:line="276" w:lineRule="auto"/>
              <w:jc w:val="center"/>
              <w:rPr>
                <w:szCs w:val="26"/>
                <w:lang w:val="vi-VN"/>
              </w:rPr>
            </w:pPr>
            <w:r w:rsidRPr="00F934BD">
              <w:rPr>
                <w:szCs w:val="26"/>
                <w:lang w:val="vi-VN"/>
              </w:rPr>
              <w:t>5</w:t>
            </w:r>
          </w:p>
        </w:tc>
        <w:tc>
          <w:tcPr>
            <w:tcW w:w="5026" w:type="dxa"/>
            <w:shd w:val="clear" w:color="auto" w:fill="auto"/>
          </w:tcPr>
          <w:p w14:paraId="4A9DD9DC" w14:textId="77777777" w:rsidR="00F56B47" w:rsidRPr="00F934BD" w:rsidRDefault="00F56B47" w:rsidP="00D7091C">
            <w:pPr>
              <w:spacing w:line="276" w:lineRule="auto"/>
              <w:jc w:val="center"/>
              <w:rPr>
                <w:szCs w:val="26"/>
                <w:lang w:val="vi-VN"/>
              </w:rPr>
            </w:pPr>
            <w:r w:rsidRPr="00F934BD">
              <w:rPr>
                <w:szCs w:val="26"/>
              </w:rPr>
              <w:t>SLA</w:t>
            </w:r>
            <w:r w:rsidRPr="00F934BD">
              <w:rPr>
                <w:szCs w:val="26"/>
                <w:lang w:val="vi-VN"/>
              </w:rPr>
              <w:t xml:space="preserve"> (</w:t>
            </w:r>
            <w:r w:rsidRPr="00F934BD">
              <w:rPr>
                <w:szCs w:val="26"/>
              </w:rPr>
              <w:t>land access and security of tenure</w:t>
            </w:r>
            <w:r w:rsidRPr="00F934BD">
              <w:rPr>
                <w:szCs w:val="26"/>
                <w:lang w:val="vi-VN"/>
              </w:rPr>
              <w:t>)</w:t>
            </w:r>
          </w:p>
        </w:tc>
        <w:tc>
          <w:tcPr>
            <w:tcW w:w="1560" w:type="dxa"/>
            <w:shd w:val="clear" w:color="auto" w:fill="auto"/>
          </w:tcPr>
          <w:p w14:paraId="24BB99CD" w14:textId="77777777" w:rsidR="00F56B47" w:rsidRPr="00F934BD" w:rsidRDefault="00F56B47" w:rsidP="00D7091C">
            <w:pPr>
              <w:autoSpaceDE w:val="0"/>
              <w:autoSpaceDN w:val="0"/>
              <w:adjustRightInd w:val="0"/>
              <w:spacing w:line="276" w:lineRule="auto"/>
              <w:ind w:left="45"/>
              <w:jc w:val="center"/>
              <w:rPr>
                <w:szCs w:val="26"/>
              </w:rPr>
            </w:pPr>
            <w:r w:rsidRPr="00F934BD">
              <w:rPr>
                <w:szCs w:val="26"/>
              </w:rPr>
              <w:t>02</w:t>
            </w:r>
          </w:p>
        </w:tc>
        <w:tc>
          <w:tcPr>
            <w:tcW w:w="1410" w:type="dxa"/>
            <w:shd w:val="clear" w:color="auto" w:fill="auto"/>
          </w:tcPr>
          <w:p w14:paraId="4C080EE2" w14:textId="77777777" w:rsidR="00F56B47" w:rsidRPr="00F934BD" w:rsidRDefault="00F56B47" w:rsidP="00D7091C">
            <w:pPr>
              <w:spacing w:line="276" w:lineRule="auto"/>
              <w:jc w:val="center"/>
              <w:rPr>
                <w:szCs w:val="26"/>
                <w:lang w:val="vi-VN"/>
              </w:rPr>
            </w:pPr>
            <w:r w:rsidRPr="00F934BD">
              <w:rPr>
                <w:szCs w:val="26"/>
                <w:lang w:val="vi-VN"/>
              </w:rPr>
              <w:t>0.759</w:t>
            </w:r>
          </w:p>
        </w:tc>
      </w:tr>
    </w:tbl>
    <w:p w14:paraId="0446A256" w14:textId="77777777" w:rsidR="00F56B47" w:rsidRPr="00F934BD" w:rsidRDefault="00F56B47" w:rsidP="00F56B47">
      <w:pPr>
        <w:pStyle w:val="Text"/>
        <w:spacing w:before="0" w:after="120" w:line="276" w:lineRule="auto"/>
        <w:rPr>
          <w:sz w:val="26"/>
          <w:szCs w:val="26"/>
        </w:rPr>
      </w:pPr>
    </w:p>
    <w:p w14:paraId="40F9FFDA" w14:textId="7DC719AB" w:rsidR="00F56B47" w:rsidRPr="002B4654" w:rsidRDefault="00F56B47" w:rsidP="002B4654">
      <w:pPr>
        <w:rPr>
          <w:lang w:val="en-US"/>
        </w:rPr>
      </w:pPr>
      <w:r>
        <w:rPr>
          <w:lang w:val="en-US"/>
        </w:rPr>
        <w:tab/>
        <w:t xml:space="preserve">Kết quả cho thấy tất cả các yếu tố đều đạt ngưỡng </w:t>
      </w:r>
      <w:r w:rsidR="00BD5388">
        <w:rPr>
          <w:lang w:val="en-US"/>
        </w:rPr>
        <w:t xml:space="preserve">trên 0.7, do đó có độ tin cậy cần thiết. </w:t>
      </w:r>
      <w:r w:rsidR="00CA00F4">
        <w:rPr>
          <w:lang w:val="en-US"/>
        </w:rPr>
        <w:t>Kết quả kiểm định KMO đạt 0.877 và tổng phương sai trích đạt 71.875 cho thấy kết quả EFA nói trên là đạt yêu cầu để sử dụng trong bước phân tích tiếp theo bằng PLS-SEM.</w:t>
      </w:r>
    </w:p>
    <w:p w14:paraId="3F44ED82" w14:textId="72166958" w:rsidR="009479D6" w:rsidRDefault="00702E98" w:rsidP="0081798F">
      <w:pPr>
        <w:rPr>
          <w:rFonts w:cs="Times New Roman"/>
          <w:szCs w:val="26"/>
          <w:lang w:val="en-US"/>
        </w:rPr>
      </w:pPr>
      <w:r>
        <w:rPr>
          <w:rFonts w:cs="Times New Roman"/>
          <w:szCs w:val="26"/>
          <w:lang w:val="en-US"/>
        </w:rPr>
        <w:tab/>
      </w:r>
      <w:r w:rsidR="004A3A10">
        <w:rPr>
          <w:rFonts w:cs="Times New Roman"/>
          <w:szCs w:val="26"/>
          <w:lang w:val="en-US"/>
        </w:rPr>
        <w:t xml:space="preserve">Bảng 2 và hình 2 </w:t>
      </w:r>
      <w:r w:rsidR="000B3F6D">
        <w:rPr>
          <w:rFonts w:cs="Times New Roman"/>
          <w:szCs w:val="26"/>
          <w:lang w:val="en-US"/>
        </w:rPr>
        <w:t>dưới đây tóm tắt kết quả phân tích PLS-SEM của mô hình nghiên cứu</w:t>
      </w:r>
      <w:r w:rsidR="0081798F">
        <w:rPr>
          <w:rFonts w:cs="Times New Roman"/>
          <w:szCs w:val="26"/>
          <w:lang w:val="en-US"/>
        </w:rPr>
        <w:t xml:space="preserve">. </w:t>
      </w:r>
      <w:r w:rsidR="0081798F">
        <w:rPr>
          <w:rFonts w:cs="Times New Roman"/>
          <w:szCs w:val="26"/>
          <w:lang w:val="en-US"/>
        </w:rPr>
        <w:t xml:space="preserve">Kết quả xác nhận vai trò của các chỉ số thành phần đến PCI, và thông qua đó </w:t>
      </w:r>
      <w:r w:rsidR="0081798F">
        <w:rPr>
          <w:rFonts w:cs="Times New Roman"/>
          <w:szCs w:val="26"/>
          <w:lang w:val="en-US"/>
        </w:rPr>
        <w:t xml:space="preserve">có </w:t>
      </w:r>
      <w:r w:rsidR="0081798F">
        <w:rPr>
          <w:rFonts w:cs="Times New Roman"/>
          <w:szCs w:val="26"/>
          <w:lang w:val="en-US"/>
        </w:rPr>
        <w:t xml:space="preserve">tác động thúc đẩy </w:t>
      </w:r>
      <w:r w:rsidR="0081798F">
        <w:rPr>
          <w:rFonts w:cs="Times New Roman"/>
          <w:szCs w:val="26"/>
          <w:lang w:val="en-US"/>
        </w:rPr>
        <w:t xml:space="preserve">tăng trưởng. Kết quả này là tương đồng với các kết quả của các nghiên cứu trước </w:t>
      </w:r>
      <w:r w:rsidR="0081798F" w:rsidRPr="00BD3646">
        <w:rPr>
          <w:rFonts w:cs="Times New Roman"/>
          <w:szCs w:val="26"/>
          <w:lang w:val="en-US"/>
        </w:rPr>
        <w:t>(Th</w:t>
      </w:r>
      <w:r w:rsidR="00EF4518" w:rsidRPr="00BD3646">
        <w:rPr>
          <w:rFonts w:cs="Times New Roman"/>
          <w:szCs w:val="26"/>
          <w:lang w:val="en-US"/>
        </w:rPr>
        <w:t>à</w:t>
      </w:r>
      <w:r w:rsidR="0081798F" w:rsidRPr="00BD3646">
        <w:rPr>
          <w:rFonts w:cs="Times New Roman"/>
          <w:szCs w:val="26"/>
          <w:lang w:val="en-US"/>
        </w:rPr>
        <w:t>nh, Hart &amp; C</w:t>
      </w:r>
      <w:r w:rsidR="00EF4518" w:rsidRPr="00BD3646">
        <w:rPr>
          <w:rFonts w:cs="Times New Roman"/>
          <w:szCs w:val="26"/>
          <w:lang w:val="en-US"/>
        </w:rPr>
        <w:t>ả</w:t>
      </w:r>
      <w:r w:rsidR="0081798F" w:rsidRPr="00BD3646">
        <w:rPr>
          <w:rFonts w:cs="Times New Roman"/>
          <w:szCs w:val="26"/>
          <w:lang w:val="en-US"/>
        </w:rPr>
        <w:t>nh, 2021; Th</w:t>
      </w:r>
      <w:r w:rsidR="00EF4518" w:rsidRPr="00BD3646">
        <w:rPr>
          <w:rFonts w:cs="Times New Roman"/>
          <w:szCs w:val="26"/>
          <w:lang w:val="en-US"/>
        </w:rPr>
        <w:t>à</w:t>
      </w:r>
      <w:r w:rsidR="0081798F" w:rsidRPr="00BD3646">
        <w:rPr>
          <w:rFonts w:cs="Times New Roman"/>
          <w:szCs w:val="26"/>
          <w:lang w:val="en-US"/>
        </w:rPr>
        <w:t>nh &amp; C</w:t>
      </w:r>
      <w:r w:rsidR="00EF4518" w:rsidRPr="00BD3646">
        <w:rPr>
          <w:rFonts w:cs="Times New Roman"/>
          <w:szCs w:val="26"/>
          <w:lang w:val="en-US"/>
        </w:rPr>
        <w:t>ả</w:t>
      </w:r>
      <w:r w:rsidR="0081798F" w:rsidRPr="00BD3646">
        <w:rPr>
          <w:rFonts w:cs="Times New Roman"/>
          <w:szCs w:val="26"/>
          <w:lang w:val="en-US"/>
        </w:rPr>
        <w:t>nh, 2020; Th</w:t>
      </w:r>
      <w:r w:rsidR="00EF4518" w:rsidRPr="00BD3646">
        <w:rPr>
          <w:rFonts w:cs="Times New Roman"/>
          <w:szCs w:val="26"/>
          <w:lang w:val="en-US"/>
        </w:rPr>
        <w:t>à</w:t>
      </w:r>
      <w:r w:rsidR="0081798F" w:rsidRPr="00BD3646">
        <w:rPr>
          <w:rFonts w:cs="Times New Roman"/>
          <w:szCs w:val="26"/>
          <w:lang w:val="en-US"/>
        </w:rPr>
        <w:t>nh &amp; Ho</w:t>
      </w:r>
      <w:r w:rsidR="00EF4518" w:rsidRPr="00BD3646">
        <w:rPr>
          <w:rFonts w:cs="Times New Roman"/>
          <w:szCs w:val="26"/>
          <w:lang w:val="en-US"/>
        </w:rPr>
        <w:t>à</w:t>
      </w:r>
      <w:r w:rsidR="0081798F" w:rsidRPr="00BD3646">
        <w:rPr>
          <w:rFonts w:cs="Times New Roman"/>
          <w:szCs w:val="26"/>
          <w:lang w:val="en-US"/>
        </w:rPr>
        <w:t>i, 2020)</w:t>
      </w:r>
      <w:r w:rsidR="00BD3646">
        <w:rPr>
          <w:rFonts w:cs="Times New Roman"/>
          <w:szCs w:val="26"/>
          <w:lang w:val="en-US"/>
        </w:rPr>
        <w:t xml:space="preserve">. Như vậy, một lần nữa việc phân tích dữ liệu thông qua phương pháp PLS-SEM đã củng cố thêm về mặt thực nghiệm vai trò của PCI nói chung và vai trò của các yếu tố thành phần nói riêng </w:t>
      </w:r>
      <w:r w:rsidR="009479D6">
        <w:rPr>
          <w:rFonts w:cs="Times New Roman"/>
          <w:szCs w:val="26"/>
          <w:lang w:val="en-US"/>
        </w:rPr>
        <w:t>đối với tăng trưởng</w:t>
      </w:r>
      <w:r w:rsidR="009479D6">
        <w:rPr>
          <w:rFonts w:cs="Times New Roman"/>
          <w:szCs w:val="26"/>
          <w:lang w:val="en-US"/>
        </w:rPr>
        <w:t>.</w:t>
      </w:r>
    </w:p>
    <w:p w14:paraId="60D4534C" w14:textId="15455B66" w:rsidR="00375E0D" w:rsidRDefault="00375E0D" w:rsidP="0081798F">
      <w:pPr>
        <w:rPr>
          <w:rFonts w:cs="Times New Roman"/>
          <w:szCs w:val="26"/>
          <w:lang w:val="en-US"/>
        </w:rPr>
      </w:pPr>
    </w:p>
    <w:p w14:paraId="20D01DBE" w14:textId="77777777" w:rsidR="00375E0D" w:rsidRDefault="00375E0D" w:rsidP="0081798F">
      <w:pPr>
        <w:rPr>
          <w:rFonts w:cs="Times New Roman"/>
          <w:szCs w:val="26"/>
          <w:lang w:val="en-US"/>
        </w:rPr>
      </w:pPr>
    </w:p>
    <w:p w14:paraId="426650E5" w14:textId="4E845C43" w:rsidR="00375E0D" w:rsidRDefault="00375E0D" w:rsidP="0081798F">
      <w:pPr>
        <w:rPr>
          <w:rFonts w:cs="Times New Roman"/>
          <w:szCs w:val="26"/>
          <w:lang w:val="en-US"/>
        </w:rPr>
      </w:pPr>
    </w:p>
    <w:p w14:paraId="46D4544D" w14:textId="77777777" w:rsidR="00375E0D" w:rsidRDefault="00375E0D" w:rsidP="0081798F">
      <w:pPr>
        <w:rPr>
          <w:rFonts w:cs="Times New Roman"/>
          <w:szCs w:val="26"/>
          <w:lang w:val="en-US"/>
        </w:rPr>
      </w:pPr>
    </w:p>
    <w:p w14:paraId="585623CD" w14:textId="7BA844D0" w:rsidR="00375E0D" w:rsidRDefault="00375E0D" w:rsidP="0081798F">
      <w:pPr>
        <w:rPr>
          <w:rFonts w:cs="Times New Roman"/>
          <w:szCs w:val="26"/>
          <w:lang w:val="en-US"/>
        </w:rPr>
      </w:pPr>
    </w:p>
    <w:p w14:paraId="0164DB80" w14:textId="77777777" w:rsidR="00375E0D" w:rsidRDefault="00375E0D" w:rsidP="0081798F">
      <w:pPr>
        <w:rPr>
          <w:rFonts w:cs="Times New Roman"/>
          <w:szCs w:val="26"/>
          <w:lang w:val="en-US"/>
        </w:rPr>
      </w:pPr>
    </w:p>
    <w:p w14:paraId="527FE45B" w14:textId="71A3A05D" w:rsidR="004A3A10" w:rsidRPr="00F934BD" w:rsidRDefault="00F934BD" w:rsidP="00F934BD">
      <w:pPr>
        <w:spacing w:line="276" w:lineRule="auto"/>
        <w:jc w:val="center"/>
        <w:rPr>
          <w:szCs w:val="26"/>
          <w:lang w:val="vi-VN" w:eastAsia="cs-CZ"/>
        </w:rPr>
      </w:pPr>
      <w:r w:rsidRPr="00F934BD">
        <w:rPr>
          <w:szCs w:val="26"/>
          <w:lang w:val="en-US" w:eastAsia="cs-CZ"/>
        </w:rPr>
        <w:lastRenderedPageBreak/>
        <w:t>Bảng 2</w:t>
      </w:r>
      <w:r w:rsidR="004A3A10" w:rsidRPr="00F934BD">
        <w:rPr>
          <w:szCs w:val="26"/>
          <w:lang w:eastAsia="cs-CZ"/>
        </w:rPr>
        <w:t xml:space="preserve">: </w:t>
      </w:r>
      <w:r w:rsidRPr="00F934BD">
        <w:rPr>
          <w:szCs w:val="26"/>
          <w:lang w:val="en-US" w:eastAsia="cs-CZ"/>
        </w:rPr>
        <w:t>Tác động tổng hợp</w:t>
      </w:r>
      <w:r w:rsidR="004A3A10" w:rsidRPr="00F934BD">
        <w:rPr>
          <w:szCs w:val="26"/>
          <w:lang w:val="vi-VN" w:eastAsia="cs-CZ"/>
        </w:rPr>
        <w:t>.</w:t>
      </w:r>
    </w:p>
    <w:tbl>
      <w:tblPr>
        <w:tblW w:w="7591" w:type="dxa"/>
        <w:jc w:val="center"/>
        <w:tblLook w:val="04A0" w:firstRow="1" w:lastRow="0" w:firstColumn="1" w:lastColumn="0" w:noHBand="0" w:noVBand="1"/>
      </w:tblPr>
      <w:tblGrid>
        <w:gridCol w:w="2147"/>
        <w:gridCol w:w="1559"/>
        <w:gridCol w:w="1295"/>
        <w:gridCol w:w="1295"/>
        <w:gridCol w:w="1295"/>
      </w:tblGrid>
      <w:tr w:rsidR="004A3A10" w:rsidRPr="00F934BD" w14:paraId="3B1C5773" w14:textId="77777777" w:rsidTr="00F934BD">
        <w:trPr>
          <w:trHeight w:val="300"/>
          <w:tblHeader/>
          <w:jc w:val="center"/>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0F686668" w14:textId="77777777" w:rsidR="004A3A10" w:rsidRPr="00F934BD" w:rsidRDefault="004A3A10" w:rsidP="00D7091C">
            <w:pPr>
              <w:spacing w:line="276" w:lineRule="auto"/>
              <w:jc w:val="center"/>
              <w:rPr>
                <w:b/>
                <w:bCs/>
                <w:szCs w:val="26"/>
              </w:rPr>
            </w:pPr>
          </w:p>
        </w:tc>
        <w:tc>
          <w:tcPr>
            <w:tcW w:w="1559" w:type="dxa"/>
            <w:vMerge w:val="restart"/>
            <w:tcBorders>
              <w:top w:val="single" w:sz="4" w:space="0" w:color="auto"/>
              <w:left w:val="nil"/>
              <w:right w:val="single" w:sz="4" w:space="0" w:color="auto"/>
            </w:tcBorders>
            <w:shd w:val="clear" w:color="auto" w:fill="auto"/>
            <w:noWrap/>
            <w:vAlign w:val="center"/>
          </w:tcPr>
          <w:p w14:paraId="332D541C" w14:textId="77777777" w:rsidR="004A3A10" w:rsidRPr="00F934BD" w:rsidRDefault="004A3A10" w:rsidP="00D7091C">
            <w:pPr>
              <w:spacing w:line="276" w:lineRule="auto"/>
              <w:jc w:val="center"/>
              <w:rPr>
                <w:b/>
                <w:bCs/>
                <w:szCs w:val="26"/>
              </w:rPr>
            </w:pPr>
            <w:r w:rsidRPr="00F934BD">
              <w:rPr>
                <w:b/>
                <w:bCs/>
                <w:szCs w:val="26"/>
              </w:rPr>
              <w:t>Coefficient</w:t>
            </w:r>
          </w:p>
        </w:tc>
        <w:tc>
          <w:tcPr>
            <w:tcW w:w="1295" w:type="dxa"/>
            <w:vMerge w:val="restart"/>
            <w:tcBorders>
              <w:top w:val="single" w:sz="4" w:space="0" w:color="auto"/>
              <w:left w:val="nil"/>
              <w:right w:val="single" w:sz="4" w:space="0" w:color="auto"/>
            </w:tcBorders>
            <w:shd w:val="clear" w:color="auto" w:fill="auto"/>
            <w:noWrap/>
            <w:vAlign w:val="center"/>
          </w:tcPr>
          <w:p w14:paraId="6D009614" w14:textId="77777777" w:rsidR="004A3A10" w:rsidRPr="00F934BD" w:rsidRDefault="004A3A10" w:rsidP="00D7091C">
            <w:pPr>
              <w:spacing w:line="276" w:lineRule="auto"/>
              <w:jc w:val="center"/>
              <w:rPr>
                <w:b/>
                <w:bCs/>
                <w:szCs w:val="26"/>
              </w:rPr>
            </w:pPr>
            <w:r w:rsidRPr="00F934BD">
              <w:rPr>
                <w:b/>
                <w:bCs/>
                <w:szCs w:val="26"/>
              </w:rPr>
              <w:t>P Values</w:t>
            </w:r>
          </w:p>
        </w:tc>
        <w:tc>
          <w:tcPr>
            <w:tcW w:w="2590" w:type="dxa"/>
            <w:gridSpan w:val="2"/>
            <w:tcBorders>
              <w:top w:val="single" w:sz="4" w:space="0" w:color="auto"/>
              <w:left w:val="nil"/>
              <w:bottom w:val="single" w:sz="4" w:space="0" w:color="auto"/>
              <w:right w:val="single" w:sz="4" w:space="0" w:color="auto"/>
            </w:tcBorders>
            <w:vAlign w:val="center"/>
          </w:tcPr>
          <w:p w14:paraId="4A8A6A49" w14:textId="77777777" w:rsidR="004A3A10" w:rsidRPr="00F934BD" w:rsidRDefault="004A3A10" w:rsidP="00D7091C">
            <w:pPr>
              <w:spacing w:line="276" w:lineRule="auto"/>
              <w:jc w:val="center"/>
              <w:rPr>
                <w:b/>
                <w:bCs/>
                <w:szCs w:val="26"/>
              </w:rPr>
            </w:pPr>
            <w:r w:rsidRPr="00F934BD">
              <w:rPr>
                <w:b/>
                <w:bCs/>
                <w:szCs w:val="26"/>
              </w:rPr>
              <w:t>Confidence interval</w:t>
            </w:r>
          </w:p>
        </w:tc>
      </w:tr>
      <w:tr w:rsidR="004A3A10" w:rsidRPr="00F934BD" w14:paraId="136C543E" w14:textId="77777777" w:rsidTr="00F934BD">
        <w:trPr>
          <w:trHeight w:val="300"/>
          <w:tblHeader/>
          <w:jc w:val="center"/>
        </w:trPr>
        <w:tc>
          <w:tcPr>
            <w:tcW w:w="2147" w:type="dxa"/>
            <w:vMerge/>
            <w:tcBorders>
              <w:left w:val="single" w:sz="4" w:space="0" w:color="auto"/>
              <w:bottom w:val="single" w:sz="4" w:space="0" w:color="auto"/>
              <w:right w:val="single" w:sz="4" w:space="0" w:color="auto"/>
            </w:tcBorders>
            <w:shd w:val="clear" w:color="auto" w:fill="auto"/>
            <w:noWrap/>
            <w:vAlign w:val="center"/>
            <w:hideMark/>
          </w:tcPr>
          <w:p w14:paraId="4953A3F4" w14:textId="77777777" w:rsidR="004A3A10" w:rsidRPr="00F934BD" w:rsidRDefault="004A3A10" w:rsidP="00D7091C">
            <w:pPr>
              <w:spacing w:line="276" w:lineRule="auto"/>
              <w:jc w:val="center"/>
              <w:rPr>
                <w:b/>
                <w:bCs/>
                <w:szCs w:val="26"/>
              </w:rPr>
            </w:pPr>
          </w:p>
        </w:tc>
        <w:tc>
          <w:tcPr>
            <w:tcW w:w="1559" w:type="dxa"/>
            <w:vMerge/>
            <w:tcBorders>
              <w:left w:val="nil"/>
              <w:bottom w:val="single" w:sz="4" w:space="0" w:color="auto"/>
              <w:right w:val="single" w:sz="4" w:space="0" w:color="auto"/>
            </w:tcBorders>
            <w:shd w:val="clear" w:color="auto" w:fill="auto"/>
            <w:noWrap/>
            <w:vAlign w:val="center"/>
            <w:hideMark/>
          </w:tcPr>
          <w:p w14:paraId="28C5A4EE" w14:textId="77777777" w:rsidR="004A3A10" w:rsidRPr="00F934BD" w:rsidRDefault="004A3A10" w:rsidP="00D7091C">
            <w:pPr>
              <w:spacing w:line="276" w:lineRule="auto"/>
              <w:jc w:val="center"/>
              <w:rPr>
                <w:b/>
                <w:bCs/>
                <w:szCs w:val="26"/>
              </w:rPr>
            </w:pPr>
          </w:p>
        </w:tc>
        <w:tc>
          <w:tcPr>
            <w:tcW w:w="1295" w:type="dxa"/>
            <w:vMerge/>
            <w:tcBorders>
              <w:left w:val="nil"/>
              <w:bottom w:val="single" w:sz="4" w:space="0" w:color="auto"/>
              <w:right w:val="single" w:sz="4" w:space="0" w:color="auto"/>
            </w:tcBorders>
            <w:shd w:val="clear" w:color="auto" w:fill="auto"/>
            <w:noWrap/>
            <w:vAlign w:val="center"/>
            <w:hideMark/>
          </w:tcPr>
          <w:p w14:paraId="4154F768" w14:textId="77777777" w:rsidR="004A3A10" w:rsidRPr="00F934BD" w:rsidRDefault="004A3A10" w:rsidP="00D7091C">
            <w:pPr>
              <w:spacing w:line="276" w:lineRule="auto"/>
              <w:jc w:val="center"/>
              <w:rPr>
                <w:b/>
                <w:bCs/>
                <w:szCs w:val="26"/>
              </w:rPr>
            </w:pPr>
          </w:p>
        </w:tc>
        <w:tc>
          <w:tcPr>
            <w:tcW w:w="1295" w:type="dxa"/>
            <w:tcBorders>
              <w:top w:val="single" w:sz="4" w:space="0" w:color="auto"/>
              <w:left w:val="nil"/>
              <w:bottom w:val="single" w:sz="4" w:space="0" w:color="auto"/>
              <w:right w:val="single" w:sz="4" w:space="0" w:color="auto"/>
            </w:tcBorders>
            <w:vAlign w:val="center"/>
          </w:tcPr>
          <w:p w14:paraId="73A42C6A" w14:textId="77777777" w:rsidR="004A3A10" w:rsidRPr="00F934BD" w:rsidRDefault="004A3A10" w:rsidP="00D7091C">
            <w:pPr>
              <w:spacing w:line="276" w:lineRule="auto"/>
              <w:jc w:val="center"/>
              <w:rPr>
                <w:b/>
                <w:bCs/>
                <w:szCs w:val="26"/>
              </w:rPr>
            </w:pPr>
            <w:r w:rsidRPr="00F934BD">
              <w:rPr>
                <w:b/>
                <w:bCs/>
                <w:szCs w:val="26"/>
              </w:rPr>
              <w:t>2.5%</w:t>
            </w:r>
          </w:p>
        </w:tc>
        <w:tc>
          <w:tcPr>
            <w:tcW w:w="1295" w:type="dxa"/>
            <w:tcBorders>
              <w:top w:val="single" w:sz="4" w:space="0" w:color="auto"/>
              <w:left w:val="nil"/>
              <w:bottom w:val="single" w:sz="4" w:space="0" w:color="auto"/>
              <w:right w:val="single" w:sz="4" w:space="0" w:color="auto"/>
            </w:tcBorders>
            <w:vAlign w:val="center"/>
          </w:tcPr>
          <w:p w14:paraId="7C48E454" w14:textId="77777777" w:rsidR="004A3A10" w:rsidRPr="00F934BD" w:rsidRDefault="004A3A10" w:rsidP="00D7091C">
            <w:pPr>
              <w:spacing w:line="276" w:lineRule="auto"/>
              <w:jc w:val="center"/>
              <w:rPr>
                <w:b/>
                <w:bCs/>
                <w:szCs w:val="26"/>
              </w:rPr>
            </w:pPr>
            <w:r w:rsidRPr="00F934BD">
              <w:rPr>
                <w:b/>
                <w:bCs/>
                <w:szCs w:val="26"/>
              </w:rPr>
              <w:t>97.5%</w:t>
            </w:r>
          </w:p>
        </w:tc>
      </w:tr>
      <w:tr w:rsidR="004A3A10" w:rsidRPr="00F934BD" w14:paraId="45CC08C9" w14:textId="77777777" w:rsidTr="00D7091C">
        <w:trPr>
          <w:trHeight w:val="300"/>
          <w:jc w:val="center"/>
        </w:trPr>
        <w:tc>
          <w:tcPr>
            <w:tcW w:w="2147" w:type="dxa"/>
            <w:tcBorders>
              <w:top w:val="nil"/>
              <w:left w:val="single" w:sz="4" w:space="0" w:color="auto"/>
              <w:bottom w:val="single" w:sz="4" w:space="0" w:color="auto"/>
              <w:right w:val="single" w:sz="4" w:space="0" w:color="auto"/>
            </w:tcBorders>
            <w:shd w:val="clear" w:color="auto" w:fill="auto"/>
            <w:noWrap/>
            <w:vAlign w:val="center"/>
            <w:hideMark/>
          </w:tcPr>
          <w:p w14:paraId="3DE88D64" w14:textId="77777777" w:rsidR="004A3A10" w:rsidRPr="00F934BD" w:rsidRDefault="004A3A10" w:rsidP="00D7091C">
            <w:pPr>
              <w:spacing w:line="276" w:lineRule="auto"/>
              <w:jc w:val="center"/>
              <w:rPr>
                <w:szCs w:val="26"/>
              </w:rPr>
            </w:pPr>
            <w:r w:rsidRPr="00F934BD">
              <w:rPr>
                <w:szCs w:val="26"/>
              </w:rPr>
              <w:t>PCI -&gt; LnRealGDP</w:t>
            </w:r>
          </w:p>
        </w:tc>
        <w:tc>
          <w:tcPr>
            <w:tcW w:w="1559" w:type="dxa"/>
            <w:tcBorders>
              <w:top w:val="nil"/>
              <w:left w:val="nil"/>
              <w:bottom w:val="single" w:sz="4" w:space="0" w:color="auto"/>
              <w:right w:val="single" w:sz="4" w:space="0" w:color="auto"/>
            </w:tcBorders>
            <w:shd w:val="clear" w:color="auto" w:fill="auto"/>
            <w:noWrap/>
            <w:vAlign w:val="center"/>
            <w:hideMark/>
          </w:tcPr>
          <w:p w14:paraId="1D84F804" w14:textId="77777777" w:rsidR="004A3A10" w:rsidRPr="00F934BD" w:rsidRDefault="004A3A10" w:rsidP="00D7091C">
            <w:pPr>
              <w:spacing w:line="276" w:lineRule="auto"/>
              <w:jc w:val="center"/>
              <w:rPr>
                <w:szCs w:val="26"/>
              </w:rPr>
            </w:pPr>
            <w:r w:rsidRPr="00F934BD">
              <w:rPr>
                <w:szCs w:val="26"/>
              </w:rPr>
              <w:t>0.203</w:t>
            </w:r>
          </w:p>
        </w:tc>
        <w:tc>
          <w:tcPr>
            <w:tcW w:w="1295" w:type="dxa"/>
            <w:tcBorders>
              <w:top w:val="nil"/>
              <w:left w:val="nil"/>
              <w:bottom w:val="single" w:sz="4" w:space="0" w:color="auto"/>
              <w:right w:val="single" w:sz="4" w:space="0" w:color="auto"/>
            </w:tcBorders>
            <w:shd w:val="clear" w:color="auto" w:fill="auto"/>
            <w:noWrap/>
            <w:vAlign w:val="center"/>
            <w:hideMark/>
          </w:tcPr>
          <w:p w14:paraId="112B7E42" w14:textId="77777777" w:rsidR="004A3A10" w:rsidRPr="00F934BD" w:rsidRDefault="004A3A10" w:rsidP="00D7091C">
            <w:pPr>
              <w:spacing w:line="276" w:lineRule="auto"/>
              <w:jc w:val="center"/>
              <w:rPr>
                <w:szCs w:val="26"/>
              </w:rPr>
            </w:pPr>
            <w:r w:rsidRPr="00F934BD">
              <w:rPr>
                <w:szCs w:val="26"/>
              </w:rPr>
              <w:t>0.016</w:t>
            </w:r>
          </w:p>
        </w:tc>
        <w:tc>
          <w:tcPr>
            <w:tcW w:w="1295" w:type="dxa"/>
            <w:tcBorders>
              <w:top w:val="nil"/>
              <w:left w:val="nil"/>
              <w:bottom w:val="single" w:sz="4" w:space="0" w:color="auto"/>
              <w:right w:val="single" w:sz="4" w:space="0" w:color="auto"/>
            </w:tcBorders>
            <w:vAlign w:val="center"/>
          </w:tcPr>
          <w:p w14:paraId="4C97646C" w14:textId="77777777" w:rsidR="004A3A10" w:rsidRPr="00F934BD" w:rsidRDefault="004A3A10" w:rsidP="00D7091C">
            <w:pPr>
              <w:spacing w:line="276" w:lineRule="auto"/>
              <w:jc w:val="center"/>
              <w:rPr>
                <w:szCs w:val="26"/>
              </w:rPr>
            </w:pPr>
            <w:r w:rsidRPr="00F934BD">
              <w:rPr>
                <w:szCs w:val="26"/>
              </w:rPr>
              <w:t>0.044</w:t>
            </w:r>
          </w:p>
        </w:tc>
        <w:tc>
          <w:tcPr>
            <w:tcW w:w="1295" w:type="dxa"/>
            <w:tcBorders>
              <w:top w:val="nil"/>
              <w:left w:val="nil"/>
              <w:bottom w:val="single" w:sz="4" w:space="0" w:color="auto"/>
              <w:right w:val="single" w:sz="4" w:space="0" w:color="auto"/>
            </w:tcBorders>
            <w:vAlign w:val="center"/>
          </w:tcPr>
          <w:p w14:paraId="66F450C8" w14:textId="77777777" w:rsidR="004A3A10" w:rsidRPr="00F934BD" w:rsidRDefault="004A3A10" w:rsidP="00D7091C">
            <w:pPr>
              <w:spacing w:line="276" w:lineRule="auto"/>
              <w:jc w:val="center"/>
              <w:rPr>
                <w:szCs w:val="26"/>
              </w:rPr>
            </w:pPr>
            <w:r w:rsidRPr="00F934BD">
              <w:rPr>
                <w:szCs w:val="26"/>
              </w:rPr>
              <w:t>0.357</w:t>
            </w:r>
          </w:p>
        </w:tc>
      </w:tr>
      <w:tr w:rsidR="004A3A10" w:rsidRPr="00F934BD" w14:paraId="3329E594" w14:textId="77777777" w:rsidTr="00D7091C">
        <w:trPr>
          <w:trHeight w:val="300"/>
          <w:jc w:val="center"/>
        </w:trPr>
        <w:tc>
          <w:tcPr>
            <w:tcW w:w="2147" w:type="dxa"/>
            <w:tcBorders>
              <w:top w:val="nil"/>
              <w:left w:val="single" w:sz="4" w:space="0" w:color="auto"/>
              <w:bottom w:val="single" w:sz="4" w:space="0" w:color="auto"/>
              <w:right w:val="single" w:sz="4" w:space="0" w:color="auto"/>
            </w:tcBorders>
            <w:shd w:val="clear" w:color="auto" w:fill="auto"/>
            <w:noWrap/>
            <w:vAlign w:val="center"/>
            <w:hideMark/>
          </w:tcPr>
          <w:p w14:paraId="3F79D1B9" w14:textId="77777777" w:rsidR="004A3A10" w:rsidRPr="00F934BD" w:rsidRDefault="004A3A10" w:rsidP="00D7091C">
            <w:pPr>
              <w:spacing w:line="276" w:lineRule="auto"/>
              <w:jc w:val="center"/>
              <w:rPr>
                <w:szCs w:val="26"/>
              </w:rPr>
            </w:pPr>
            <w:r w:rsidRPr="00F934BD">
              <w:rPr>
                <w:szCs w:val="26"/>
              </w:rPr>
              <w:t>SLA -&gt; LnRealGDP</w:t>
            </w:r>
          </w:p>
        </w:tc>
        <w:tc>
          <w:tcPr>
            <w:tcW w:w="1559" w:type="dxa"/>
            <w:tcBorders>
              <w:top w:val="nil"/>
              <w:left w:val="nil"/>
              <w:bottom w:val="single" w:sz="4" w:space="0" w:color="auto"/>
              <w:right w:val="single" w:sz="4" w:space="0" w:color="auto"/>
            </w:tcBorders>
            <w:shd w:val="clear" w:color="auto" w:fill="auto"/>
            <w:noWrap/>
            <w:vAlign w:val="center"/>
            <w:hideMark/>
          </w:tcPr>
          <w:p w14:paraId="3F6F83B8" w14:textId="77777777" w:rsidR="004A3A10" w:rsidRPr="00F934BD" w:rsidRDefault="004A3A10" w:rsidP="00D7091C">
            <w:pPr>
              <w:spacing w:line="276" w:lineRule="auto"/>
              <w:jc w:val="center"/>
              <w:rPr>
                <w:szCs w:val="26"/>
              </w:rPr>
            </w:pPr>
            <w:r w:rsidRPr="00F934BD">
              <w:rPr>
                <w:szCs w:val="26"/>
              </w:rPr>
              <w:t>0.013</w:t>
            </w:r>
          </w:p>
        </w:tc>
        <w:tc>
          <w:tcPr>
            <w:tcW w:w="1295" w:type="dxa"/>
            <w:tcBorders>
              <w:top w:val="nil"/>
              <w:left w:val="nil"/>
              <w:bottom w:val="single" w:sz="4" w:space="0" w:color="auto"/>
              <w:right w:val="single" w:sz="4" w:space="0" w:color="auto"/>
            </w:tcBorders>
            <w:shd w:val="clear" w:color="auto" w:fill="auto"/>
            <w:noWrap/>
            <w:vAlign w:val="center"/>
            <w:hideMark/>
          </w:tcPr>
          <w:p w14:paraId="341CF7B2" w14:textId="77777777" w:rsidR="004A3A10" w:rsidRPr="00F934BD" w:rsidRDefault="004A3A10" w:rsidP="00D7091C">
            <w:pPr>
              <w:spacing w:line="276" w:lineRule="auto"/>
              <w:jc w:val="center"/>
              <w:rPr>
                <w:szCs w:val="26"/>
              </w:rPr>
            </w:pPr>
            <w:r w:rsidRPr="00F934BD">
              <w:rPr>
                <w:szCs w:val="26"/>
              </w:rPr>
              <w:t>0.104</w:t>
            </w:r>
          </w:p>
        </w:tc>
        <w:tc>
          <w:tcPr>
            <w:tcW w:w="1295" w:type="dxa"/>
            <w:tcBorders>
              <w:top w:val="nil"/>
              <w:left w:val="nil"/>
              <w:bottom w:val="single" w:sz="4" w:space="0" w:color="auto"/>
              <w:right w:val="single" w:sz="4" w:space="0" w:color="auto"/>
            </w:tcBorders>
            <w:vAlign w:val="center"/>
          </w:tcPr>
          <w:p w14:paraId="565736F0" w14:textId="77777777" w:rsidR="004A3A10" w:rsidRPr="00F934BD" w:rsidRDefault="004A3A10" w:rsidP="00D7091C">
            <w:pPr>
              <w:spacing w:line="276" w:lineRule="auto"/>
              <w:jc w:val="center"/>
              <w:rPr>
                <w:szCs w:val="26"/>
              </w:rPr>
            </w:pPr>
            <w:r w:rsidRPr="00F934BD">
              <w:rPr>
                <w:szCs w:val="26"/>
              </w:rPr>
              <w:t>0.002</w:t>
            </w:r>
          </w:p>
        </w:tc>
        <w:tc>
          <w:tcPr>
            <w:tcW w:w="1295" w:type="dxa"/>
            <w:tcBorders>
              <w:top w:val="nil"/>
              <w:left w:val="nil"/>
              <w:bottom w:val="single" w:sz="4" w:space="0" w:color="auto"/>
              <w:right w:val="single" w:sz="4" w:space="0" w:color="auto"/>
            </w:tcBorders>
            <w:vAlign w:val="center"/>
          </w:tcPr>
          <w:p w14:paraId="6AE375C5" w14:textId="77777777" w:rsidR="004A3A10" w:rsidRPr="00F934BD" w:rsidRDefault="004A3A10" w:rsidP="00D7091C">
            <w:pPr>
              <w:spacing w:line="276" w:lineRule="auto"/>
              <w:jc w:val="center"/>
              <w:rPr>
                <w:szCs w:val="26"/>
              </w:rPr>
            </w:pPr>
            <w:r w:rsidRPr="00F934BD">
              <w:rPr>
                <w:szCs w:val="26"/>
              </w:rPr>
              <w:t>0.032</w:t>
            </w:r>
          </w:p>
        </w:tc>
      </w:tr>
      <w:tr w:rsidR="004A3A10" w:rsidRPr="00F934BD" w14:paraId="53DE3D0F" w14:textId="77777777" w:rsidTr="00D7091C">
        <w:trPr>
          <w:trHeight w:val="300"/>
          <w:jc w:val="center"/>
        </w:trPr>
        <w:tc>
          <w:tcPr>
            <w:tcW w:w="2147" w:type="dxa"/>
            <w:tcBorders>
              <w:top w:val="nil"/>
              <w:left w:val="single" w:sz="4" w:space="0" w:color="auto"/>
              <w:bottom w:val="single" w:sz="4" w:space="0" w:color="auto"/>
              <w:right w:val="single" w:sz="4" w:space="0" w:color="auto"/>
            </w:tcBorders>
            <w:shd w:val="clear" w:color="auto" w:fill="auto"/>
            <w:noWrap/>
            <w:vAlign w:val="center"/>
            <w:hideMark/>
          </w:tcPr>
          <w:p w14:paraId="69591E87" w14:textId="77777777" w:rsidR="004A3A10" w:rsidRPr="00F934BD" w:rsidRDefault="004A3A10" w:rsidP="00D7091C">
            <w:pPr>
              <w:spacing w:line="276" w:lineRule="auto"/>
              <w:jc w:val="center"/>
              <w:rPr>
                <w:szCs w:val="26"/>
              </w:rPr>
            </w:pPr>
            <w:r w:rsidRPr="00F934BD">
              <w:rPr>
                <w:szCs w:val="26"/>
              </w:rPr>
              <w:t>SLA -&gt; PCI</w:t>
            </w:r>
          </w:p>
        </w:tc>
        <w:tc>
          <w:tcPr>
            <w:tcW w:w="1559" w:type="dxa"/>
            <w:tcBorders>
              <w:top w:val="nil"/>
              <w:left w:val="nil"/>
              <w:bottom w:val="single" w:sz="4" w:space="0" w:color="auto"/>
              <w:right w:val="single" w:sz="4" w:space="0" w:color="auto"/>
            </w:tcBorders>
            <w:shd w:val="clear" w:color="auto" w:fill="auto"/>
            <w:noWrap/>
            <w:vAlign w:val="center"/>
            <w:hideMark/>
          </w:tcPr>
          <w:p w14:paraId="1AF510FD" w14:textId="77777777" w:rsidR="004A3A10" w:rsidRPr="00F934BD" w:rsidRDefault="004A3A10" w:rsidP="00D7091C">
            <w:pPr>
              <w:spacing w:line="276" w:lineRule="auto"/>
              <w:jc w:val="center"/>
              <w:rPr>
                <w:szCs w:val="26"/>
              </w:rPr>
            </w:pPr>
            <w:r w:rsidRPr="00F934BD">
              <w:rPr>
                <w:szCs w:val="26"/>
              </w:rPr>
              <w:t>0.066</w:t>
            </w:r>
          </w:p>
        </w:tc>
        <w:tc>
          <w:tcPr>
            <w:tcW w:w="1295" w:type="dxa"/>
            <w:tcBorders>
              <w:top w:val="nil"/>
              <w:left w:val="nil"/>
              <w:bottom w:val="single" w:sz="4" w:space="0" w:color="auto"/>
              <w:right w:val="single" w:sz="4" w:space="0" w:color="auto"/>
            </w:tcBorders>
            <w:shd w:val="clear" w:color="auto" w:fill="auto"/>
            <w:noWrap/>
            <w:vAlign w:val="center"/>
            <w:hideMark/>
          </w:tcPr>
          <w:p w14:paraId="46997B9F" w14:textId="77777777" w:rsidR="004A3A10" w:rsidRPr="00F934BD" w:rsidRDefault="004A3A10" w:rsidP="00D7091C">
            <w:pPr>
              <w:spacing w:line="276" w:lineRule="auto"/>
              <w:jc w:val="center"/>
              <w:rPr>
                <w:szCs w:val="26"/>
              </w:rPr>
            </w:pPr>
            <w:r w:rsidRPr="00F934BD">
              <w:rPr>
                <w:szCs w:val="26"/>
              </w:rPr>
              <w:t>0.001</w:t>
            </w:r>
          </w:p>
        </w:tc>
        <w:tc>
          <w:tcPr>
            <w:tcW w:w="1295" w:type="dxa"/>
            <w:tcBorders>
              <w:top w:val="nil"/>
              <w:left w:val="nil"/>
              <w:bottom w:val="single" w:sz="4" w:space="0" w:color="auto"/>
              <w:right w:val="single" w:sz="4" w:space="0" w:color="auto"/>
            </w:tcBorders>
            <w:vAlign w:val="center"/>
          </w:tcPr>
          <w:p w14:paraId="09286812" w14:textId="77777777" w:rsidR="004A3A10" w:rsidRPr="00F934BD" w:rsidRDefault="004A3A10" w:rsidP="00D7091C">
            <w:pPr>
              <w:spacing w:line="276" w:lineRule="auto"/>
              <w:jc w:val="center"/>
              <w:rPr>
                <w:szCs w:val="26"/>
              </w:rPr>
            </w:pPr>
            <w:r w:rsidRPr="00F934BD">
              <w:rPr>
                <w:szCs w:val="26"/>
              </w:rPr>
              <w:t>0.030</w:t>
            </w:r>
          </w:p>
        </w:tc>
        <w:tc>
          <w:tcPr>
            <w:tcW w:w="1295" w:type="dxa"/>
            <w:tcBorders>
              <w:top w:val="nil"/>
              <w:left w:val="nil"/>
              <w:bottom w:val="single" w:sz="4" w:space="0" w:color="auto"/>
              <w:right w:val="single" w:sz="4" w:space="0" w:color="auto"/>
            </w:tcBorders>
            <w:vAlign w:val="center"/>
          </w:tcPr>
          <w:p w14:paraId="6E2D1DD4" w14:textId="77777777" w:rsidR="004A3A10" w:rsidRPr="00F934BD" w:rsidRDefault="004A3A10" w:rsidP="00D7091C">
            <w:pPr>
              <w:spacing w:line="276" w:lineRule="auto"/>
              <w:jc w:val="center"/>
              <w:rPr>
                <w:szCs w:val="26"/>
              </w:rPr>
            </w:pPr>
            <w:r w:rsidRPr="00F934BD">
              <w:rPr>
                <w:szCs w:val="26"/>
              </w:rPr>
              <w:t>0.100</w:t>
            </w:r>
          </w:p>
        </w:tc>
      </w:tr>
      <w:tr w:rsidR="004A3A10" w:rsidRPr="00F934BD" w14:paraId="366ACE28" w14:textId="77777777" w:rsidTr="00D7091C">
        <w:trPr>
          <w:trHeight w:val="300"/>
          <w:jc w:val="center"/>
        </w:trPr>
        <w:tc>
          <w:tcPr>
            <w:tcW w:w="2147" w:type="dxa"/>
            <w:tcBorders>
              <w:top w:val="nil"/>
              <w:left w:val="single" w:sz="4" w:space="0" w:color="auto"/>
              <w:bottom w:val="single" w:sz="4" w:space="0" w:color="auto"/>
              <w:right w:val="single" w:sz="4" w:space="0" w:color="auto"/>
            </w:tcBorders>
            <w:shd w:val="clear" w:color="auto" w:fill="auto"/>
            <w:noWrap/>
            <w:vAlign w:val="center"/>
            <w:hideMark/>
          </w:tcPr>
          <w:p w14:paraId="0FD949C9" w14:textId="77777777" w:rsidR="004A3A10" w:rsidRPr="00F934BD" w:rsidRDefault="004A3A10" w:rsidP="00D7091C">
            <w:pPr>
              <w:spacing w:line="276" w:lineRule="auto"/>
              <w:jc w:val="center"/>
              <w:rPr>
                <w:szCs w:val="26"/>
              </w:rPr>
            </w:pPr>
            <w:r w:rsidRPr="00F934BD">
              <w:rPr>
                <w:szCs w:val="26"/>
              </w:rPr>
              <w:t>SLO -&gt; LnRealGDP</w:t>
            </w:r>
          </w:p>
        </w:tc>
        <w:tc>
          <w:tcPr>
            <w:tcW w:w="1559" w:type="dxa"/>
            <w:tcBorders>
              <w:top w:val="nil"/>
              <w:left w:val="nil"/>
              <w:bottom w:val="single" w:sz="4" w:space="0" w:color="auto"/>
              <w:right w:val="single" w:sz="4" w:space="0" w:color="auto"/>
            </w:tcBorders>
            <w:shd w:val="clear" w:color="auto" w:fill="auto"/>
            <w:noWrap/>
            <w:vAlign w:val="center"/>
            <w:hideMark/>
          </w:tcPr>
          <w:p w14:paraId="1DF055A0" w14:textId="77777777" w:rsidR="004A3A10" w:rsidRPr="00F934BD" w:rsidRDefault="004A3A10" w:rsidP="00D7091C">
            <w:pPr>
              <w:spacing w:line="276" w:lineRule="auto"/>
              <w:jc w:val="center"/>
              <w:rPr>
                <w:szCs w:val="26"/>
              </w:rPr>
            </w:pPr>
            <w:r w:rsidRPr="00F934BD">
              <w:rPr>
                <w:szCs w:val="26"/>
              </w:rPr>
              <w:t>0.092</w:t>
            </w:r>
          </w:p>
        </w:tc>
        <w:tc>
          <w:tcPr>
            <w:tcW w:w="1295" w:type="dxa"/>
            <w:tcBorders>
              <w:top w:val="nil"/>
              <w:left w:val="nil"/>
              <w:bottom w:val="single" w:sz="4" w:space="0" w:color="auto"/>
              <w:right w:val="single" w:sz="4" w:space="0" w:color="auto"/>
            </w:tcBorders>
            <w:shd w:val="clear" w:color="auto" w:fill="auto"/>
            <w:noWrap/>
            <w:vAlign w:val="center"/>
            <w:hideMark/>
          </w:tcPr>
          <w:p w14:paraId="2811980B" w14:textId="77777777" w:rsidR="004A3A10" w:rsidRPr="00F934BD" w:rsidRDefault="004A3A10" w:rsidP="00D7091C">
            <w:pPr>
              <w:spacing w:line="276" w:lineRule="auto"/>
              <w:jc w:val="center"/>
              <w:rPr>
                <w:szCs w:val="26"/>
              </w:rPr>
            </w:pPr>
            <w:r w:rsidRPr="00F934BD">
              <w:rPr>
                <w:szCs w:val="26"/>
              </w:rPr>
              <w:t>0.012</w:t>
            </w:r>
          </w:p>
        </w:tc>
        <w:tc>
          <w:tcPr>
            <w:tcW w:w="1295" w:type="dxa"/>
            <w:tcBorders>
              <w:top w:val="nil"/>
              <w:left w:val="nil"/>
              <w:bottom w:val="single" w:sz="4" w:space="0" w:color="auto"/>
              <w:right w:val="single" w:sz="4" w:space="0" w:color="auto"/>
            </w:tcBorders>
            <w:vAlign w:val="center"/>
          </w:tcPr>
          <w:p w14:paraId="4602AB52" w14:textId="77777777" w:rsidR="004A3A10" w:rsidRPr="00F934BD" w:rsidRDefault="004A3A10" w:rsidP="00D7091C">
            <w:pPr>
              <w:spacing w:line="276" w:lineRule="auto"/>
              <w:jc w:val="center"/>
              <w:rPr>
                <w:szCs w:val="26"/>
              </w:rPr>
            </w:pPr>
            <w:r w:rsidRPr="00F934BD">
              <w:rPr>
                <w:szCs w:val="26"/>
              </w:rPr>
              <w:t>0.021</w:t>
            </w:r>
          </w:p>
        </w:tc>
        <w:tc>
          <w:tcPr>
            <w:tcW w:w="1295" w:type="dxa"/>
            <w:tcBorders>
              <w:top w:val="nil"/>
              <w:left w:val="nil"/>
              <w:bottom w:val="single" w:sz="4" w:space="0" w:color="auto"/>
              <w:right w:val="single" w:sz="4" w:space="0" w:color="auto"/>
            </w:tcBorders>
            <w:vAlign w:val="center"/>
          </w:tcPr>
          <w:p w14:paraId="6F735402" w14:textId="77777777" w:rsidR="004A3A10" w:rsidRPr="00F934BD" w:rsidRDefault="004A3A10" w:rsidP="00D7091C">
            <w:pPr>
              <w:spacing w:line="276" w:lineRule="auto"/>
              <w:jc w:val="center"/>
              <w:rPr>
                <w:szCs w:val="26"/>
              </w:rPr>
            </w:pPr>
            <w:r w:rsidRPr="00F934BD">
              <w:rPr>
                <w:szCs w:val="26"/>
              </w:rPr>
              <w:t>0.156</w:t>
            </w:r>
          </w:p>
        </w:tc>
      </w:tr>
      <w:tr w:rsidR="004A3A10" w:rsidRPr="00F934BD" w14:paraId="40758FA9" w14:textId="77777777" w:rsidTr="00D7091C">
        <w:trPr>
          <w:trHeight w:val="300"/>
          <w:jc w:val="center"/>
        </w:trPr>
        <w:tc>
          <w:tcPr>
            <w:tcW w:w="2147" w:type="dxa"/>
            <w:tcBorders>
              <w:top w:val="nil"/>
              <w:left w:val="single" w:sz="4" w:space="0" w:color="auto"/>
              <w:bottom w:val="single" w:sz="4" w:space="0" w:color="auto"/>
              <w:right w:val="single" w:sz="4" w:space="0" w:color="auto"/>
            </w:tcBorders>
            <w:shd w:val="clear" w:color="auto" w:fill="auto"/>
            <w:noWrap/>
            <w:vAlign w:val="center"/>
            <w:hideMark/>
          </w:tcPr>
          <w:p w14:paraId="3A73B111" w14:textId="77777777" w:rsidR="004A3A10" w:rsidRPr="00F934BD" w:rsidRDefault="004A3A10" w:rsidP="00D7091C">
            <w:pPr>
              <w:spacing w:line="276" w:lineRule="auto"/>
              <w:jc w:val="center"/>
              <w:rPr>
                <w:szCs w:val="26"/>
              </w:rPr>
            </w:pPr>
            <w:r w:rsidRPr="00F934BD">
              <w:rPr>
                <w:szCs w:val="26"/>
              </w:rPr>
              <w:t>SLO -&gt; PCI</w:t>
            </w:r>
          </w:p>
        </w:tc>
        <w:tc>
          <w:tcPr>
            <w:tcW w:w="1559" w:type="dxa"/>
            <w:tcBorders>
              <w:top w:val="nil"/>
              <w:left w:val="nil"/>
              <w:bottom w:val="single" w:sz="4" w:space="0" w:color="auto"/>
              <w:right w:val="single" w:sz="4" w:space="0" w:color="auto"/>
            </w:tcBorders>
            <w:shd w:val="clear" w:color="auto" w:fill="auto"/>
            <w:noWrap/>
            <w:vAlign w:val="center"/>
            <w:hideMark/>
          </w:tcPr>
          <w:p w14:paraId="035CBF88" w14:textId="77777777" w:rsidR="004A3A10" w:rsidRPr="00F934BD" w:rsidRDefault="004A3A10" w:rsidP="00D7091C">
            <w:pPr>
              <w:spacing w:line="276" w:lineRule="auto"/>
              <w:jc w:val="center"/>
              <w:rPr>
                <w:szCs w:val="26"/>
              </w:rPr>
            </w:pPr>
            <w:r w:rsidRPr="00F934BD">
              <w:rPr>
                <w:szCs w:val="26"/>
              </w:rPr>
              <w:t>0.451</w:t>
            </w:r>
          </w:p>
        </w:tc>
        <w:tc>
          <w:tcPr>
            <w:tcW w:w="1295" w:type="dxa"/>
            <w:tcBorders>
              <w:top w:val="nil"/>
              <w:left w:val="nil"/>
              <w:bottom w:val="single" w:sz="4" w:space="0" w:color="auto"/>
              <w:right w:val="single" w:sz="4" w:space="0" w:color="auto"/>
            </w:tcBorders>
            <w:shd w:val="clear" w:color="auto" w:fill="auto"/>
            <w:noWrap/>
            <w:vAlign w:val="center"/>
            <w:hideMark/>
          </w:tcPr>
          <w:p w14:paraId="182C7C88" w14:textId="77777777" w:rsidR="004A3A10" w:rsidRPr="00F934BD" w:rsidRDefault="004A3A10" w:rsidP="00D7091C">
            <w:pPr>
              <w:spacing w:line="276" w:lineRule="auto"/>
              <w:jc w:val="center"/>
              <w:rPr>
                <w:szCs w:val="26"/>
              </w:rPr>
            </w:pPr>
            <w:r w:rsidRPr="00F934BD">
              <w:rPr>
                <w:szCs w:val="26"/>
              </w:rPr>
              <w:t>0.000</w:t>
            </w:r>
          </w:p>
        </w:tc>
        <w:tc>
          <w:tcPr>
            <w:tcW w:w="1295" w:type="dxa"/>
            <w:tcBorders>
              <w:top w:val="nil"/>
              <w:left w:val="nil"/>
              <w:bottom w:val="single" w:sz="4" w:space="0" w:color="auto"/>
              <w:right w:val="single" w:sz="4" w:space="0" w:color="auto"/>
            </w:tcBorders>
            <w:vAlign w:val="center"/>
          </w:tcPr>
          <w:p w14:paraId="7DB222C0" w14:textId="77777777" w:rsidR="004A3A10" w:rsidRPr="00F934BD" w:rsidRDefault="004A3A10" w:rsidP="00D7091C">
            <w:pPr>
              <w:spacing w:line="276" w:lineRule="auto"/>
              <w:jc w:val="center"/>
              <w:rPr>
                <w:szCs w:val="26"/>
              </w:rPr>
            </w:pPr>
            <w:r w:rsidRPr="00F934BD">
              <w:rPr>
                <w:szCs w:val="26"/>
              </w:rPr>
              <w:t>0.398</w:t>
            </w:r>
          </w:p>
        </w:tc>
        <w:tc>
          <w:tcPr>
            <w:tcW w:w="1295" w:type="dxa"/>
            <w:tcBorders>
              <w:top w:val="nil"/>
              <w:left w:val="nil"/>
              <w:bottom w:val="single" w:sz="4" w:space="0" w:color="auto"/>
              <w:right w:val="single" w:sz="4" w:space="0" w:color="auto"/>
            </w:tcBorders>
            <w:vAlign w:val="center"/>
          </w:tcPr>
          <w:p w14:paraId="35EC2C8B" w14:textId="77777777" w:rsidR="004A3A10" w:rsidRPr="00F934BD" w:rsidRDefault="004A3A10" w:rsidP="00D7091C">
            <w:pPr>
              <w:spacing w:line="276" w:lineRule="auto"/>
              <w:jc w:val="center"/>
              <w:rPr>
                <w:szCs w:val="26"/>
              </w:rPr>
            </w:pPr>
            <w:r w:rsidRPr="00F934BD">
              <w:rPr>
                <w:szCs w:val="26"/>
              </w:rPr>
              <w:t>0.502</w:t>
            </w:r>
          </w:p>
        </w:tc>
      </w:tr>
      <w:tr w:rsidR="004A3A10" w:rsidRPr="00F934BD" w14:paraId="72D5A3DB" w14:textId="77777777" w:rsidTr="00D7091C">
        <w:trPr>
          <w:trHeight w:val="300"/>
          <w:jc w:val="center"/>
        </w:trPr>
        <w:tc>
          <w:tcPr>
            <w:tcW w:w="2147" w:type="dxa"/>
            <w:tcBorders>
              <w:top w:val="nil"/>
              <w:left w:val="single" w:sz="4" w:space="0" w:color="auto"/>
              <w:bottom w:val="single" w:sz="4" w:space="0" w:color="auto"/>
              <w:right w:val="single" w:sz="4" w:space="0" w:color="auto"/>
            </w:tcBorders>
            <w:shd w:val="clear" w:color="auto" w:fill="auto"/>
            <w:noWrap/>
            <w:vAlign w:val="center"/>
            <w:hideMark/>
          </w:tcPr>
          <w:p w14:paraId="791524F3" w14:textId="77777777" w:rsidR="004A3A10" w:rsidRPr="00F934BD" w:rsidRDefault="004A3A10" w:rsidP="00D7091C">
            <w:pPr>
              <w:spacing w:line="276" w:lineRule="auto"/>
              <w:jc w:val="center"/>
              <w:rPr>
                <w:szCs w:val="26"/>
              </w:rPr>
            </w:pPr>
            <w:r w:rsidRPr="00F934BD">
              <w:rPr>
                <w:szCs w:val="26"/>
              </w:rPr>
              <w:t>SLP -&gt; LnRealGDP</w:t>
            </w:r>
          </w:p>
        </w:tc>
        <w:tc>
          <w:tcPr>
            <w:tcW w:w="1559" w:type="dxa"/>
            <w:tcBorders>
              <w:top w:val="nil"/>
              <w:left w:val="nil"/>
              <w:bottom w:val="single" w:sz="4" w:space="0" w:color="auto"/>
              <w:right w:val="single" w:sz="4" w:space="0" w:color="auto"/>
            </w:tcBorders>
            <w:shd w:val="clear" w:color="auto" w:fill="auto"/>
            <w:noWrap/>
            <w:vAlign w:val="center"/>
            <w:hideMark/>
          </w:tcPr>
          <w:p w14:paraId="3B378752" w14:textId="77777777" w:rsidR="004A3A10" w:rsidRPr="00F934BD" w:rsidRDefault="004A3A10" w:rsidP="00D7091C">
            <w:pPr>
              <w:spacing w:line="276" w:lineRule="auto"/>
              <w:jc w:val="center"/>
              <w:rPr>
                <w:szCs w:val="26"/>
              </w:rPr>
            </w:pPr>
            <w:r w:rsidRPr="00F934BD">
              <w:rPr>
                <w:szCs w:val="26"/>
              </w:rPr>
              <w:t>0.040</w:t>
            </w:r>
          </w:p>
        </w:tc>
        <w:tc>
          <w:tcPr>
            <w:tcW w:w="1295" w:type="dxa"/>
            <w:tcBorders>
              <w:top w:val="nil"/>
              <w:left w:val="nil"/>
              <w:bottom w:val="single" w:sz="4" w:space="0" w:color="auto"/>
              <w:right w:val="single" w:sz="4" w:space="0" w:color="auto"/>
            </w:tcBorders>
            <w:shd w:val="clear" w:color="auto" w:fill="auto"/>
            <w:noWrap/>
            <w:vAlign w:val="center"/>
            <w:hideMark/>
          </w:tcPr>
          <w:p w14:paraId="5C4F372B" w14:textId="77777777" w:rsidR="004A3A10" w:rsidRPr="00F934BD" w:rsidRDefault="004A3A10" w:rsidP="00D7091C">
            <w:pPr>
              <w:spacing w:line="276" w:lineRule="auto"/>
              <w:jc w:val="center"/>
              <w:rPr>
                <w:szCs w:val="26"/>
              </w:rPr>
            </w:pPr>
            <w:r w:rsidRPr="00F934BD">
              <w:rPr>
                <w:szCs w:val="26"/>
              </w:rPr>
              <w:t>0.026</w:t>
            </w:r>
          </w:p>
        </w:tc>
        <w:tc>
          <w:tcPr>
            <w:tcW w:w="1295" w:type="dxa"/>
            <w:tcBorders>
              <w:top w:val="nil"/>
              <w:left w:val="nil"/>
              <w:bottom w:val="single" w:sz="4" w:space="0" w:color="auto"/>
              <w:right w:val="single" w:sz="4" w:space="0" w:color="auto"/>
            </w:tcBorders>
            <w:vAlign w:val="center"/>
          </w:tcPr>
          <w:p w14:paraId="6604596A" w14:textId="77777777" w:rsidR="004A3A10" w:rsidRPr="00F934BD" w:rsidRDefault="004A3A10" w:rsidP="00D7091C">
            <w:pPr>
              <w:spacing w:line="276" w:lineRule="auto"/>
              <w:jc w:val="center"/>
              <w:rPr>
                <w:szCs w:val="26"/>
              </w:rPr>
            </w:pPr>
            <w:r w:rsidRPr="00F934BD">
              <w:rPr>
                <w:szCs w:val="26"/>
              </w:rPr>
              <w:t>0.007</w:t>
            </w:r>
          </w:p>
        </w:tc>
        <w:tc>
          <w:tcPr>
            <w:tcW w:w="1295" w:type="dxa"/>
            <w:tcBorders>
              <w:top w:val="nil"/>
              <w:left w:val="nil"/>
              <w:bottom w:val="single" w:sz="4" w:space="0" w:color="auto"/>
              <w:right w:val="single" w:sz="4" w:space="0" w:color="auto"/>
            </w:tcBorders>
            <w:vAlign w:val="center"/>
          </w:tcPr>
          <w:p w14:paraId="4FE72DD2" w14:textId="77777777" w:rsidR="004A3A10" w:rsidRPr="00F934BD" w:rsidRDefault="004A3A10" w:rsidP="00D7091C">
            <w:pPr>
              <w:spacing w:line="276" w:lineRule="auto"/>
              <w:jc w:val="center"/>
              <w:rPr>
                <w:szCs w:val="26"/>
              </w:rPr>
            </w:pPr>
            <w:r w:rsidRPr="00F934BD">
              <w:rPr>
                <w:szCs w:val="26"/>
              </w:rPr>
              <w:t>0.073</w:t>
            </w:r>
          </w:p>
        </w:tc>
      </w:tr>
      <w:tr w:rsidR="004A3A10" w:rsidRPr="00F934BD" w14:paraId="15A496DC" w14:textId="77777777" w:rsidTr="00D7091C">
        <w:trPr>
          <w:trHeight w:val="300"/>
          <w:jc w:val="center"/>
        </w:trPr>
        <w:tc>
          <w:tcPr>
            <w:tcW w:w="2147" w:type="dxa"/>
            <w:tcBorders>
              <w:top w:val="nil"/>
              <w:left w:val="single" w:sz="4" w:space="0" w:color="auto"/>
              <w:bottom w:val="single" w:sz="4" w:space="0" w:color="auto"/>
              <w:right w:val="single" w:sz="4" w:space="0" w:color="auto"/>
            </w:tcBorders>
            <w:shd w:val="clear" w:color="auto" w:fill="auto"/>
            <w:noWrap/>
            <w:vAlign w:val="center"/>
            <w:hideMark/>
          </w:tcPr>
          <w:p w14:paraId="08FC0F35" w14:textId="77777777" w:rsidR="004A3A10" w:rsidRPr="00F934BD" w:rsidRDefault="004A3A10" w:rsidP="00D7091C">
            <w:pPr>
              <w:spacing w:line="276" w:lineRule="auto"/>
              <w:jc w:val="center"/>
              <w:rPr>
                <w:szCs w:val="26"/>
              </w:rPr>
            </w:pPr>
            <w:r w:rsidRPr="00F934BD">
              <w:rPr>
                <w:szCs w:val="26"/>
              </w:rPr>
              <w:t>SLP -&gt; PCI</w:t>
            </w:r>
          </w:p>
        </w:tc>
        <w:tc>
          <w:tcPr>
            <w:tcW w:w="1559" w:type="dxa"/>
            <w:tcBorders>
              <w:top w:val="nil"/>
              <w:left w:val="nil"/>
              <w:bottom w:val="single" w:sz="4" w:space="0" w:color="auto"/>
              <w:right w:val="single" w:sz="4" w:space="0" w:color="auto"/>
            </w:tcBorders>
            <w:shd w:val="clear" w:color="auto" w:fill="auto"/>
            <w:noWrap/>
            <w:vAlign w:val="center"/>
            <w:hideMark/>
          </w:tcPr>
          <w:p w14:paraId="48E02777" w14:textId="77777777" w:rsidR="004A3A10" w:rsidRPr="00F934BD" w:rsidRDefault="004A3A10" w:rsidP="00D7091C">
            <w:pPr>
              <w:spacing w:line="276" w:lineRule="auto"/>
              <w:jc w:val="center"/>
              <w:rPr>
                <w:szCs w:val="26"/>
              </w:rPr>
            </w:pPr>
            <w:r w:rsidRPr="00F934BD">
              <w:rPr>
                <w:szCs w:val="26"/>
              </w:rPr>
              <w:t>0.195</w:t>
            </w:r>
          </w:p>
        </w:tc>
        <w:tc>
          <w:tcPr>
            <w:tcW w:w="1295" w:type="dxa"/>
            <w:tcBorders>
              <w:top w:val="nil"/>
              <w:left w:val="nil"/>
              <w:bottom w:val="single" w:sz="4" w:space="0" w:color="auto"/>
              <w:right w:val="single" w:sz="4" w:space="0" w:color="auto"/>
            </w:tcBorders>
            <w:shd w:val="clear" w:color="auto" w:fill="auto"/>
            <w:noWrap/>
            <w:vAlign w:val="center"/>
            <w:hideMark/>
          </w:tcPr>
          <w:p w14:paraId="5A56D772" w14:textId="77777777" w:rsidR="004A3A10" w:rsidRPr="00F934BD" w:rsidRDefault="004A3A10" w:rsidP="00D7091C">
            <w:pPr>
              <w:spacing w:line="276" w:lineRule="auto"/>
              <w:jc w:val="center"/>
              <w:rPr>
                <w:szCs w:val="26"/>
              </w:rPr>
            </w:pPr>
            <w:r w:rsidRPr="00F934BD">
              <w:rPr>
                <w:szCs w:val="26"/>
              </w:rPr>
              <w:t>0.000</w:t>
            </w:r>
          </w:p>
        </w:tc>
        <w:tc>
          <w:tcPr>
            <w:tcW w:w="1295" w:type="dxa"/>
            <w:tcBorders>
              <w:top w:val="nil"/>
              <w:left w:val="nil"/>
              <w:bottom w:val="single" w:sz="4" w:space="0" w:color="auto"/>
              <w:right w:val="single" w:sz="4" w:space="0" w:color="auto"/>
            </w:tcBorders>
            <w:vAlign w:val="center"/>
          </w:tcPr>
          <w:p w14:paraId="50941ABD" w14:textId="77777777" w:rsidR="004A3A10" w:rsidRPr="00F934BD" w:rsidRDefault="004A3A10" w:rsidP="00D7091C">
            <w:pPr>
              <w:spacing w:line="276" w:lineRule="auto"/>
              <w:jc w:val="center"/>
              <w:rPr>
                <w:szCs w:val="26"/>
              </w:rPr>
            </w:pPr>
            <w:r w:rsidRPr="00F934BD">
              <w:rPr>
                <w:szCs w:val="26"/>
              </w:rPr>
              <w:t>0.159</w:t>
            </w:r>
          </w:p>
        </w:tc>
        <w:tc>
          <w:tcPr>
            <w:tcW w:w="1295" w:type="dxa"/>
            <w:tcBorders>
              <w:top w:val="nil"/>
              <w:left w:val="nil"/>
              <w:bottom w:val="single" w:sz="4" w:space="0" w:color="auto"/>
              <w:right w:val="single" w:sz="4" w:space="0" w:color="auto"/>
            </w:tcBorders>
            <w:vAlign w:val="center"/>
          </w:tcPr>
          <w:p w14:paraId="5CD294D5" w14:textId="77777777" w:rsidR="004A3A10" w:rsidRPr="00F934BD" w:rsidRDefault="004A3A10" w:rsidP="00D7091C">
            <w:pPr>
              <w:spacing w:line="276" w:lineRule="auto"/>
              <w:jc w:val="center"/>
              <w:rPr>
                <w:szCs w:val="26"/>
              </w:rPr>
            </w:pPr>
            <w:r w:rsidRPr="00F934BD">
              <w:rPr>
                <w:szCs w:val="26"/>
              </w:rPr>
              <w:t>0.223</w:t>
            </w:r>
          </w:p>
        </w:tc>
      </w:tr>
      <w:tr w:rsidR="004A3A10" w:rsidRPr="00F934BD" w14:paraId="633A8AD3" w14:textId="77777777" w:rsidTr="00D7091C">
        <w:trPr>
          <w:trHeight w:val="300"/>
          <w:jc w:val="center"/>
        </w:trPr>
        <w:tc>
          <w:tcPr>
            <w:tcW w:w="2147" w:type="dxa"/>
            <w:tcBorders>
              <w:top w:val="nil"/>
              <w:left w:val="single" w:sz="4" w:space="0" w:color="auto"/>
              <w:bottom w:val="single" w:sz="4" w:space="0" w:color="auto"/>
              <w:right w:val="single" w:sz="4" w:space="0" w:color="auto"/>
            </w:tcBorders>
            <w:shd w:val="clear" w:color="auto" w:fill="auto"/>
            <w:noWrap/>
            <w:vAlign w:val="center"/>
            <w:hideMark/>
          </w:tcPr>
          <w:p w14:paraId="663C237A" w14:textId="77777777" w:rsidR="004A3A10" w:rsidRPr="00F934BD" w:rsidRDefault="004A3A10" w:rsidP="00D7091C">
            <w:pPr>
              <w:spacing w:line="276" w:lineRule="auto"/>
              <w:jc w:val="center"/>
              <w:rPr>
                <w:szCs w:val="26"/>
              </w:rPr>
            </w:pPr>
            <w:r w:rsidRPr="00F934BD">
              <w:rPr>
                <w:szCs w:val="26"/>
              </w:rPr>
              <w:t>SPA -&gt; LnRealGDP</w:t>
            </w:r>
          </w:p>
        </w:tc>
        <w:tc>
          <w:tcPr>
            <w:tcW w:w="1559" w:type="dxa"/>
            <w:tcBorders>
              <w:top w:val="nil"/>
              <w:left w:val="nil"/>
              <w:bottom w:val="single" w:sz="4" w:space="0" w:color="auto"/>
              <w:right w:val="single" w:sz="4" w:space="0" w:color="auto"/>
            </w:tcBorders>
            <w:shd w:val="clear" w:color="auto" w:fill="auto"/>
            <w:noWrap/>
            <w:vAlign w:val="center"/>
            <w:hideMark/>
          </w:tcPr>
          <w:p w14:paraId="2C29E9F2" w14:textId="77777777" w:rsidR="004A3A10" w:rsidRPr="00F934BD" w:rsidRDefault="004A3A10" w:rsidP="00D7091C">
            <w:pPr>
              <w:spacing w:line="276" w:lineRule="auto"/>
              <w:jc w:val="center"/>
              <w:rPr>
                <w:szCs w:val="26"/>
              </w:rPr>
            </w:pPr>
            <w:r w:rsidRPr="00F934BD">
              <w:rPr>
                <w:szCs w:val="26"/>
              </w:rPr>
              <w:t>0.054</w:t>
            </w:r>
          </w:p>
        </w:tc>
        <w:tc>
          <w:tcPr>
            <w:tcW w:w="1295" w:type="dxa"/>
            <w:tcBorders>
              <w:top w:val="nil"/>
              <w:left w:val="nil"/>
              <w:bottom w:val="single" w:sz="4" w:space="0" w:color="auto"/>
              <w:right w:val="single" w:sz="4" w:space="0" w:color="auto"/>
            </w:tcBorders>
            <w:shd w:val="clear" w:color="auto" w:fill="auto"/>
            <w:noWrap/>
            <w:vAlign w:val="center"/>
            <w:hideMark/>
          </w:tcPr>
          <w:p w14:paraId="5F00AE99" w14:textId="77777777" w:rsidR="004A3A10" w:rsidRPr="00F934BD" w:rsidRDefault="004A3A10" w:rsidP="00D7091C">
            <w:pPr>
              <w:spacing w:line="276" w:lineRule="auto"/>
              <w:jc w:val="center"/>
              <w:rPr>
                <w:szCs w:val="26"/>
              </w:rPr>
            </w:pPr>
            <w:r w:rsidRPr="00F934BD">
              <w:rPr>
                <w:szCs w:val="26"/>
              </w:rPr>
              <w:t>0.019</w:t>
            </w:r>
          </w:p>
        </w:tc>
        <w:tc>
          <w:tcPr>
            <w:tcW w:w="1295" w:type="dxa"/>
            <w:tcBorders>
              <w:top w:val="nil"/>
              <w:left w:val="nil"/>
              <w:bottom w:val="single" w:sz="4" w:space="0" w:color="auto"/>
              <w:right w:val="single" w:sz="4" w:space="0" w:color="auto"/>
            </w:tcBorders>
            <w:vAlign w:val="center"/>
          </w:tcPr>
          <w:p w14:paraId="3836FA93" w14:textId="77777777" w:rsidR="004A3A10" w:rsidRPr="00F934BD" w:rsidRDefault="004A3A10" w:rsidP="00D7091C">
            <w:pPr>
              <w:spacing w:line="276" w:lineRule="auto"/>
              <w:jc w:val="center"/>
              <w:rPr>
                <w:szCs w:val="26"/>
              </w:rPr>
            </w:pPr>
            <w:r w:rsidRPr="00F934BD">
              <w:rPr>
                <w:szCs w:val="26"/>
              </w:rPr>
              <w:t>0.011</w:t>
            </w:r>
          </w:p>
        </w:tc>
        <w:tc>
          <w:tcPr>
            <w:tcW w:w="1295" w:type="dxa"/>
            <w:tcBorders>
              <w:top w:val="nil"/>
              <w:left w:val="nil"/>
              <w:bottom w:val="single" w:sz="4" w:space="0" w:color="auto"/>
              <w:right w:val="single" w:sz="4" w:space="0" w:color="auto"/>
            </w:tcBorders>
            <w:vAlign w:val="center"/>
          </w:tcPr>
          <w:p w14:paraId="3037AED2" w14:textId="77777777" w:rsidR="004A3A10" w:rsidRPr="00F934BD" w:rsidRDefault="004A3A10" w:rsidP="00D7091C">
            <w:pPr>
              <w:spacing w:line="276" w:lineRule="auto"/>
              <w:jc w:val="center"/>
              <w:rPr>
                <w:szCs w:val="26"/>
              </w:rPr>
            </w:pPr>
            <w:r w:rsidRPr="00F934BD">
              <w:rPr>
                <w:szCs w:val="26"/>
              </w:rPr>
              <w:t>0.097</w:t>
            </w:r>
          </w:p>
        </w:tc>
      </w:tr>
      <w:tr w:rsidR="004A3A10" w:rsidRPr="00F934BD" w14:paraId="3F352907" w14:textId="77777777" w:rsidTr="00D7091C">
        <w:trPr>
          <w:trHeight w:val="300"/>
          <w:jc w:val="center"/>
        </w:trPr>
        <w:tc>
          <w:tcPr>
            <w:tcW w:w="2147" w:type="dxa"/>
            <w:tcBorders>
              <w:top w:val="nil"/>
              <w:left w:val="single" w:sz="4" w:space="0" w:color="auto"/>
              <w:bottom w:val="single" w:sz="4" w:space="0" w:color="auto"/>
              <w:right w:val="single" w:sz="4" w:space="0" w:color="auto"/>
            </w:tcBorders>
            <w:shd w:val="clear" w:color="auto" w:fill="auto"/>
            <w:noWrap/>
            <w:vAlign w:val="center"/>
            <w:hideMark/>
          </w:tcPr>
          <w:p w14:paraId="57ECA701" w14:textId="77777777" w:rsidR="004A3A10" w:rsidRPr="00F934BD" w:rsidRDefault="004A3A10" w:rsidP="00D7091C">
            <w:pPr>
              <w:spacing w:line="276" w:lineRule="auto"/>
              <w:jc w:val="center"/>
              <w:rPr>
                <w:szCs w:val="26"/>
              </w:rPr>
            </w:pPr>
            <w:r w:rsidRPr="00F934BD">
              <w:rPr>
                <w:szCs w:val="26"/>
              </w:rPr>
              <w:t>SPA -&gt; PCI</w:t>
            </w:r>
          </w:p>
        </w:tc>
        <w:tc>
          <w:tcPr>
            <w:tcW w:w="1559" w:type="dxa"/>
            <w:tcBorders>
              <w:top w:val="nil"/>
              <w:left w:val="nil"/>
              <w:bottom w:val="single" w:sz="4" w:space="0" w:color="auto"/>
              <w:right w:val="single" w:sz="4" w:space="0" w:color="auto"/>
            </w:tcBorders>
            <w:shd w:val="clear" w:color="auto" w:fill="auto"/>
            <w:noWrap/>
            <w:vAlign w:val="center"/>
            <w:hideMark/>
          </w:tcPr>
          <w:p w14:paraId="2CCFAFD9" w14:textId="77777777" w:rsidR="004A3A10" w:rsidRPr="00F934BD" w:rsidRDefault="004A3A10" w:rsidP="00D7091C">
            <w:pPr>
              <w:spacing w:line="276" w:lineRule="auto"/>
              <w:jc w:val="center"/>
              <w:rPr>
                <w:szCs w:val="26"/>
              </w:rPr>
            </w:pPr>
            <w:r w:rsidRPr="00F934BD">
              <w:rPr>
                <w:szCs w:val="26"/>
              </w:rPr>
              <w:t>0.267</w:t>
            </w:r>
          </w:p>
        </w:tc>
        <w:tc>
          <w:tcPr>
            <w:tcW w:w="1295" w:type="dxa"/>
            <w:tcBorders>
              <w:top w:val="nil"/>
              <w:left w:val="nil"/>
              <w:bottom w:val="single" w:sz="4" w:space="0" w:color="auto"/>
              <w:right w:val="single" w:sz="4" w:space="0" w:color="auto"/>
            </w:tcBorders>
            <w:shd w:val="clear" w:color="auto" w:fill="auto"/>
            <w:noWrap/>
            <w:vAlign w:val="center"/>
            <w:hideMark/>
          </w:tcPr>
          <w:p w14:paraId="3699F38C" w14:textId="77777777" w:rsidR="004A3A10" w:rsidRPr="00F934BD" w:rsidRDefault="004A3A10" w:rsidP="00D7091C">
            <w:pPr>
              <w:spacing w:line="276" w:lineRule="auto"/>
              <w:jc w:val="center"/>
              <w:rPr>
                <w:szCs w:val="26"/>
              </w:rPr>
            </w:pPr>
            <w:r w:rsidRPr="00F934BD">
              <w:rPr>
                <w:szCs w:val="26"/>
              </w:rPr>
              <w:t>0.000</w:t>
            </w:r>
          </w:p>
        </w:tc>
        <w:tc>
          <w:tcPr>
            <w:tcW w:w="1295" w:type="dxa"/>
            <w:tcBorders>
              <w:top w:val="nil"/>
              <w:left w:val="nil"/>
              <w:bottom w:val="single" w:sz="4" w:space="0" w:color="auto"/>
              <w:right w:val="single" w:sz="4" w:space="0" w:color="auto"/>
            </w:tcBorders>
            <w:vAlign w:val="center"/>
          </w:tcPr>
          <w:p w14:paraId="4B2101EC" w14:textId="77777777" w:rsidR="004A3A10" w:rsidRPr="00F934BD" w:rsidRDefault="004A3A10" w:rsidP="00D7091C">
            <w:pPr>
              <w:spacing w:line="276" w:lineRule="auto"/>
              <w:jc w:val="center"/>
              <w:rPr>
                <w:szCs w:val="26"/>
              </w:rPr>
            </w:pPr>
            <w:r w:rsidRPr="00F934BD">
              <w:rPr>
                <w:szCs w:val="26"/>
              </w:rPr>
              <w:t>0.236</w:t>
            </w:r>
          </w:p>
        </w:tc>
        <w:tc>
          <w:tcPr>
            <w:tcW w:w="1295" w:type="dxa"/>
            <w:tcBorders>
              <w:top w:val="nil"/>
              <w:left w:val="nil"/>
              <w:bottom w:val="single" w:sz="4" w:space="0" w:color="auto"/>
              <w:right w:val="single" w:sz="4" w:space="0" w:color="auto"/>
            </w:tcBorders>
            <w:vAlign w:val="center"/>
          </w:tcPr>
          <w:p w14:paraId="4C53A030" w14:textId="77777777" w:rsidR="004A3A10" w:rsidRPr="00F934BD" w:rsidRDefault="004A3A10" w:rsidP="00D7091C">
            <w:pPr>
              <w:spacing w:line="276" w:lineRule="auto"/>
              <w:jc w:val="center"/>
              <w:rPr>
                <w:szCs w:val="26"/>
              </w:rPr>
            </w:pPr>
            <w:r w:rsidRPr="00F934BD">
              <w:rPr>
                <w:szCs w:val="26"/>
              </w:rPr>
              <w:t>0.295</w:t>
            </w:r>
          </w:p>
        </w:tc>
      </w:tr>
      <w:tr w:rsidR="004A3A10" w:rsidRPr="00F934BD" w14:paraId="203527A4" w14:textId="77777777" w:rsidTr="00D7091C">
        <w:trPr>
          <w:trHeight w:val="300"/>
          <w:jc w:val="center"/>
        </w:trPr>
        <w:tc>
          <w:tcPr>
            <w:tcW w:w="2147" w:type="dxa"/>
            <w:tcBorders>
              <w:top w:val="nil"/>
              <w:left w:val="single" w:sz="4" w:space="0" w:color="auto"/>
              <w:bottom w:val="single" w:sz="4" w:space="0" w:color="auto"/>
              <w:right w:val="single" w:sz="4" w:space="0" w:color="auto"/>
            </w:tcBorders>
            <w:shd w:val="clear" w:color="auto" w:fill="auto"/>
            <w:noWrap/>
            <w:vAlign w:val="center"/>
            <w:hideMark/>
          </w:tcPr>
          <w:p w14:paraId="7573D857" w14:textId="77777777" w:rsidR="004A3A10" w:rsidRPr="00F934BD" w:rsidRDefault="004A3A10" w:rsidP="00D7091C">
            <w:pPr>
              <w:spacing w:line="276" w:lineRule="auto"/>
              <w:jc w:val="center"/>
              <w:rPr>
                <w:szCs w:val="26"/>
              </w:rPr>
            </w:pPr>
            <w:r w:rsidRPr="00F934BD">
              <w:rPr>
                <w:szCs w:val="26"/>
              </w:rPr>
              <w:t>STC -&gt; LnRealGDP</w:t>
            </w:r>
          </w:p>
        </w:tc>
        <w:tc>
          <w:tcPr>
            <w:tcW w:w="1559" w:type="dxa"/>
            <w:tcBorders>
              <w:top w:val="nil"/>
              <w:left w:val="nil"/>
              <w:bottom w:val="single" w:sz="4" w:space="0" w:color="auto"/>
              <w:right w:val="single" w:sz="4" w:space="0" w:color="auto"/>
            </w:tcBorders>
            <w:shd w:val="clear" w:color="auto" w:fill="auto"/>
            <w:noWrap/>
            <w:vAlign w:val="center"/>
            <w:hideMark/>
          </w:tcPr>
          <w:p w14:paraId="783F89E6" w14:textId="77777777" w:rsidR="004A3A10" w:rsidRPr="00F934BD" w:rsidRDefault="004A3A10" w:rsidP="00D7091C">
            <w:pPr>
              <w:spacing w:line="276" w:lineRule="auto"/>
              <w:jc w:val="center"/>
              <w:rPr>
                <w:szCs w:val="26"/>
              </w:rPr>
            </w:pPr>
            <w:r w:rsidRPr="00F934BD">
              <w:rPr>
                <w:szCs w:val="26"/>
              </w:rPr>
              <w:t>0.067</w:t>
            </w:r>
          </w:p>
        </w:tc>
        <w:tc>
          <w:tcPr>
            <w:tcW w:w="1295" w:type="dxa"/>
            <w:tcBorders>
              <w:top w:val="nil"/>
              <w:left w:val="nil"/>
              <w:bottom w:val="single" w:sz="4" w:space="0" w:color="auto"/>
              <w:right w:val="single" w:sz="4" w:space="0" w:color="auto"/>
            </w:tcBorders>
            <w:shd w:val="clear" w:color="auto" w:fill="auto"/>
            <w:noWrap/>
            <w:vAlign w:val="center"/>
            <w:hideMark/>
          </w:tcPr>
          <w:p w14:paraId="389A25FB" w14:textId="77777777" w:rsidR="004A3A10" w:rsidRPr="00F934BD" w:rsidRDefault="004A3A10" w:rsidP="00D7091C">
            <w:pPr>
              <w:spacing w:line="276" w:lineRule="auto"/>
              <w:jc w:val="center"/>
              <w:rPr>
                <w:szCs w:val="26"/>
              </w:rPr>
            </w:pPr>
            <w:r w:rsidRPr="00F934BD">
              <w:rPr>
                <w:szCs w:val="26"/>
              </w:rPr>
              <w:t>0.009</w:t>
            </w:r>
          </w:p>
        </w:tc>
        <w:tc>
          <w:tcPr>
            <w:tcW w:w="1295" w:type="dxa"/>
            <w:tcBorders>
              <w:top w:val="nil"/>
              <w:left w:val="nil"/>
              <w:bottom w:val="single" w:sz="4" w:space="0" w:color="auto"/>
              <w:right w:val="single" w:sz="4" w:space="0" w:color="auto"/>
            </w:tcBorders>
            <w:vAlign w:val="center"/>
          </w:tcPr>
          <w:p w14:paraId="0CAFD78B" w14:textId="77777777" w:rsidR="004A3A10" w:rsidRPr="00F934BD" w:rsidRDefault="004A3A10" w:rsidP="00D7091C">
            <w:pPr>
              <w:spacing w:line="276" w:lineRule="auto"/>
              <w:jc w:val="center"/>
              <w:rPr>
                <w:szCs w:val="26"/>
              </w:rPr>
            </w:pPr>
            <w:r w:rsidRPr="00F934BD">
              <w:rPr>
                <w:szCs w:val="26"/>
              </w:rPr>
              <w:t>0.015</w:t>
            </w:r>
          </w:p>
        </w:tc>
        <w:tc>
          <w:tcPr>
            <w:tcW w:w="1295" w:type="dxa"/>
            <w:tcBorders>
              <w:top w:val="nil"/>
              <w:left w:val="nil"/>
              <w:bottom w:val="single" w:sz="4" w:space="0" w:color="auto"/>
              <w:right w:val="single" w:sz="4" w:space="0" w:color="auto"/>
            </w:tcBorders>
            <w:vAlign w:val="center"/>
          </w:tcPr>
          <w:p w14:paraId="50EC9C4D" w14:textId="77777777" w:rsidR="004A3A10" w:rsidRPr="00F934BD" w:rsidRDefault="004A3A10" w:rsidP="00D7091C">
            <w:pPr>
              <w:spacing w:line="276" w:lineRule="auto"/>
              <w:jc w:val="center"/>
              <w:rPr>
                <w:szCs w:val="26"/>
              </w:rPr>
            </w:pPr>
            <w:r w:rsidRPr="00F934BD">
              <w:rPr>
                <w:szCs w:val="26"/>
              </w:rPr>
              <w:t>0.110</w:t>
            </w:r>
          </w:p>
        </w:tc>
      </w:tr>
      <w:tr w:rsidR="004A3A10" w:rsidRPr="00F934BD" w14:paraId="48B144AD" w14:textId="77777777" w:rsidTr="00D7091C">
        <w:trPr>
          <w:trHeight w:val="300"/>
          <w:jc w:val="center"/>
        </w:trPr>
        <w:tc>
          <w:tcPr>
            <w:tcW w:w="2147" w:type="dxa"/>
            <w:tcBorders>
              <w:top w:val="nil"/>
              <w:left w:val="single" w:sz="4" w:space="0" w:color="auto"/>
              <w:bottom w:val="single" w:sz="4" w:space="0" w:color="auto"/>
              <w:right w:val="single" w:sz="4" w:space="0" w:color="auto"/>
            </w:tcBorders>
            <w:shd w:val="clear" w:color="auto" w:fill="auto"/>
            <w:noWrap/>
            <w:vAlign w:val="center"/>
            <w:hideMark/>
          </w:tcPr>
          <w:p w14:paraId="323E871C" w14:textId="77777777" w:rsidR="004A3A10" w:rsidRPr="00F934BD" w:rsidRDefault="004A3A10" w:rsidP="00D7091C">
            <w:pPr>
              <w:spacing w:line="276" w:lineRule="auto"/>
              <w:jc w:val="center"/>
              <w:rPr>
                <w:szCs w:val="26"/>
              </w:rPr>
            </w:pPr>
            <w:r w:rsidRPr="00F934BD">
              <w:rPr>
                <w:szCs w:val="26"/>
              </w:rPr>
              <w:t>STC -&gt; PCI</w:t>
            </w:r>
          </w:p>
        </w:tc>
        <w:tc>
          <w:tcPr>
            <w:tcW w:w="1559" w:type="dxa"/>
            <w:tcBorders>
              <w:top w:val="nil"/>
              <w:left w:val="nil"/>
              <w:bottom w:val="single" w:sz="4" w:space="0" w:color="auto"/>
              <w:right w:val="single" w:sz="4" w:space="0" w:color="auto"/>
            </w:tcBorders>
            <w:shd w:val="clear" w:color="auto" w:fill="auto"/>
            <w:noWrap/>
            <w:vAlign w:val="center"/>
            <w:hideMark/>
          </w:tcPr>
          <w:p w14:paraId="23D2106B" w14:textId="77777777" w:rsidR="004A3A10" w:rsidRPr="00F934BD" w:rsidRDefault="004A3A10" w:rsidP="00D7091C">
            <w:pPr>
              <w:spacing w:line="276" w:lineRule="auto"/>
              <w:jc w:val="center"/>
              <w:rPr>
                <w:szCs w:val="26"/>
              </w:rPr>
            </w:pPr>
            <w:r w:rsidRPr="00F934BD">
              <w:rPr>
                <w:szCs w:val="26"/>
              </w:rPr>
              <w:t>0.327</w:t>
            </w:r>
          </w:p>
        </w:tc>
        <w:tc>
          <w:tcPr>
            <w:tcW w:w="1295" w:type="dxa"/>
            <w:tcBorders>
              <w:top w:val="nil"/>
              <w:left w:val="nil"/>
              <w:bottom w:val="single" w:sz="4" w:space="0" w:color="auto"/>
              <w:right w:val="single" w:sz="4" w:space="0" w:color="auto"/>
            </w:tcBorders>
            <w:shd w:val="clear" w:color="auto" w:fill="auto"/>
            <w:noWrap/>
            <w:vAlign w:val="center"/>
            <w:hideMark/>
          </w:tcPr>
          <w:p w14:paraId="4CCCAB24" w14:textId="77777777" w:rsidR="004A3A10" w:rsidRPr="00F934BD" w:rsidRDefault="004A3A10" w:rsidP="00D7091C">
            <w:pPr>
              <w:spacing w:line="276" w:lineRule="auto"/>
              <w:jc w:val="center"/>
              <w:rPr>
                <w:szCs w:val="26"/>
              </w:rPr>
            </w:pPr>
            <w:r w:rsidRPr="00F934BD">
              <w:rPr>
                <w:szCs w:val="26"/>
              </w:rPr>
              <w:t>0.000</w:t>
            </w:r>
          </w:p>
        </w:tc>
        <w:tc>
          <w:tcPr>
            <w:tcW w:w="1295" w:type="dxa"/>
            <w:tcBorders>
              <w:top w:val="nil"/>
              <w:left w:val="nil"/>
              <w:bottom w:val="single" w:sz="4" w:space="0" w:color="auto"/>
              <w:right w:val="single" w:sz="4" w:space="0" w:color="auto"/>
            </w:tcBorders>
            <w:vAlign w:val="center"/>
          </w:tcPr>
          <w:p w14:paraId="62CE6ED9" w14:textId="77777777" w:rsidR="004A3A10" w:rsidRPr="00F934BD" w:rsidRDefault="004A3A10" w:rsidP="00D7091C">
            <w:pPr>
              <w:spacing w:line="276" w:lineRule="auto"/>
              <w:jc w:val="center"/>
              <w:rPr>
                <w:szCs w:val="26"/>
              </w:rPr>
            </w:pPr>
            <w:r w:rsidRPr="00F934BD">
              <w:rPr>
                <w:szCs w:val="26"/>
              </w:rPr>
              <w:t>0.276</w:t>
            </w:r>
          </w:p>
        </w:tc>
        <w:tc>
          <w:tcPr>
            <w:tcW w:w="1295" w:type="dxa"/>
            <w:tcBorders>
              <w:top w:val="nil"/>
              <w:left w:val="nil"/>
              <w:bottom w:val="single" w:sz="4" w:space="0" w:color="auto"/>
              <w:right w:val="single" w:sz="4" w:space="0" w:color="auto"/>
            </w:tcBorders>
            <w:vAlign w:val="center"/>
          </w:tcPr>
          <w:p w14:paraId="247F74D1" w14:textId="77777777" w:rsidR="004A3A10" w:rsidRPr="00F934BD" w:rsidRDefault="004A3A10" w:rsidP="00D7091C">
            <w:pPr>
              <w:spacing w:line="276" w:lineRule="auto"/>
              <w:jc w:val="center"/>
              <w:rPr>
                <w:szCs w:val="26"/>
              </w:rPr>
            </w:pPr>
            <w:r w:rsidRPr="00F934BD">
              <w:rPr>
                <w:szCs w:val="26"/>
              </w:rPr>
              <w:t>0.365</w:t>
            </w:r>
          </w:p>
        </w:tc>
      </w:tr>
    </w:tbl>
    <w:p w14:paraId="53A47704" w14:textId="77777777" w:rsidR="004A3A10" w:rsidRPr="00F934BD" w:rsidRDefault="004A3A10" w:rsidP="004A3A10">
      <w:pPr>
        <w:spacing w:line="276" w:lineRule="auto"/>
        <w:rPr>
          <w:szCs w:val="26"/>
          <w:lang w:val="vi-VN" w:eastAsia="cs-CZ"/>
        </w:rPr>
      </w:pPr>
    </w:p>
    <w:p w14:paraId="08304C43" w14:textId="3FEA4EE0" w:rsidR="000B3F6D" w:rsidRDefault="000B3F6D" w:rsidP="001D0FF4">
      <w:pPr>
        <w:rPr>
          <w:rFonts w:cs="Times New Roman"/>
          <w:szCs w:val="26"/>
          <w:lang w:val="en-US"/>
        </w:rPr>
      </w:pPr>
      <w:r w:rsidRPr="00BA4C4E">
        <w:rPr>
          <w:noProof/>
          <w:sz w:val="22"/>
        </w:rPr>
        <w:lastRenderedPageBreak/>
        <w:drawing>
          <wp:inline distT="0" distB="0" distL="0" distR="0" wp14:anchorId="1AE0CB7B" wp14:editId="3CEAFAEF">
            <wp:extent cx="5502940" cy="5270500"/>
            <wp:effectExtent l="0" t="0" r="2540" b="6350"/>
            <wp:docPr id="24" name="Picture 24" descr="file:///var/folders/1h/wprp2z0x3lx3kh0s3yzlfg4m0000gn/T/com.microsoft.Word/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creenshot.png"/>
                    <pic:cNvPicPr/>
                  </pic:nvPicPr>
                  <pic:blipFill>
                    <a:blip r:embed="rId9">
                      <a:extLst>
                        <a:ext uri="{28A0092B-C50C-407E-A947-70E740481C1C}">
                          <a14:useLocalDpi xmlns:a14="http://schemas.microsoft.com/office/drawing/2010/main" val="0"/>
                        </a:ext>
                      </a:extLst>
                    </a:blip>
                    <a:stretch>
                      <a:fillRect/>
                    </a:stretch>
                  </pic:blipFill>
                  <pic:spPr>
                    <a:xfrm>
                      <a:off x="0" y="0"/>
                      <a:ext cx="5533700" cy="5299961"/>
                    </a:xfrm>
                    <a:prstGeom prst="rect">
                      <a:avLst/>
                    </a:prstGeom>
                  </pic:spPr>
                </pic:pic>
              </a:graphicData>
            </a:graphic>
          </wp:inline>
        </w:drawing>
      </w:r>
    </w:p>
    <w:p w14:paraId="66AB33B2" w14:textId="46BE21FB" w:rsidR="004A3A10" w:rsidRPr="004A3A10" w:rsidRDefault="004A3A10" w:rsidP="004A3A10">
      <w:pPr>
        <w:spacing w:line="276" w:lineRule="auto"/>
        <w:jc w:val="center"/>
        <w:rPr>
          <w:sz w:val="22"/>
          <w:lang w:val="en-US" w:eastAsia="cs-CZ"/>
        </w:rPr>
      </w:pPr>
      <w:r>
        <w:rPr>
          <w:sz w:val="22"/>
          <w:lang w:eastAsia="cs-CZ"/>
        </w:rPr>
        <w:t>Hình 2</w:t>
      </w:r>
      <w:r w:rsidRPr="00BA4C4E">
        <w:rPr>
          <w:sz w:val="22"/>
          <w:lang w:eastAsia="cs-CZ"/>
        </w:rPr>
        <w:t>.</w:t>
      </w:r>
      <w:r w:rsidRPr="00BA4C4E">
        <w:rPr>
          <w:sz w:val="22"/>
          <w:lang w:val="vi-VN" w:eastAsia="cs-CZ"/>
        </w:rPr>
        <w:t xml:space="preserve"> </w:t>
      </w:r>
      <w:r>
        <w:rPr>
          <w:sz w:val="22"/>
          <w:lang w:val="en-US" w:eastAsia="cs-CZ"/>
        </w:rPr>
        <w:t xml:space="preserve">Vai trò của các chỉ số thành phần và </w:t>
      </w:r>
      <w:r w:rsidRPr="00BA4C4E">
        <w:rPr>
          <w:sz w:val="22"/>
          <w:lang w:val="vi-VN" w:eastAsia="cs-CZ"/>
        </w:rPr>
        <w:t xml:space="preserve">PCI </w:t>
      </w:r>
      <w:r>
        <w:rPr>
          <w:sz w:val="22"/>
          <w:lang w:val="en-US" w:eastAsia="cs-CZ"/>
        </w:rPr>
        <w:t>đối với tăng trưởng</w:t>
      </w:r>
    </w:p>
    <w:p w14:paraId="2C5226E7" w14:textId="77777777" w:rsidR="004A3A10" w:rsidRDefault="004A3A10" w:rsidP="00213914">
      <w:pPr>
        <w:rPr>
          <w:rFonts w:cs="Times New Roman"/>
          <w:szCs w:val="26"/>
          <w:lang w:val="en-US"/>
        </w:rPr>
      </w:pPr>
    </w:p>
    <w:p w14:paraId="6A724168" w14:textId="0B0977AE" w:rsidR="00213914" w:rsidRPr="00801EBE" w:rsidRDefault="00213914" w:rsidP="00801EBE">
      <w:pPr>
        <w:pStyle w:val="NormalWeb"/>
        <w:shd w:val="clear" w:color="auto" w:fill="FFFFFF"/>
        <w:spacing w:before="0" w:beforeAutospacing="0" w:after="225" w:afterAutospacing="0" w:line="360" w:lineRule="auto"/>
        <w:ind w:firstLine="720"/>
        <w:rPr>
          <w:sz w:val="26"/>
          <w:szCs w:val="26"/>
        </w:rPr>
      </w:pPr>
      <w:r w:rsidRPr="00801EBE">
        <w:rPr>
          <w:sz w:val="26"/>
          <w:szCs w:val="26"/>
        </w:rPr>
        <w:t>Tuy nhiên để có thể tìm hiểu sâu hơn và đối sánh giữa tầm quan trọng của các yếu tố so với tình trạng thực hiện của các yếu tố đó hiện nay, kỹ thuật phân tích IPM được sử dụng</w:t>
      </w:r>
      <w:r w:rsidR="00375E0D" w:rsidRPr="00801EBE">
        <w:rPr>
          <w:sz w:val="26"/>
          <w:szCs w:val="26"/>
        </w:rPr>
        <w:t xml:space="preserve">. Kết quả được thể hiện trong hình 3 dưới đây. </w:t>
      </w:r>
      <w:r w:rsidR="00375E0D" w:rsidRPr="00801EBE">
        <w:rPr>
          <w:color w:val="000000"/>
          <w:sz w:val="26"/>
          <w:szCs w:val="26"/>
        </w:rPr>
        <w:t>Lưu ý trong hình trục hoành thể hiện tầm quan trọng (importance), trong khi trục tung thể hiện tình trạng thực hiện hiện nay (performance). Kết quả cho thấy nhìn chung tình trạng thực hiện của các yếu tố không có nhiều khác biệt, ngoại trừ yếu tố SLA (</w:t>
      </w:r>
      <w:r w:rsidR="00375E0D" w:rsidRPr="00801EBE">
        <w:rPr>
          <w:sz w:val="26"/>
          <w:szCs w:val="26"/>
        </w:rPr>
        <w:t xml:space="preserve">Sự </w:t>
      </w:r>
      <w:r w:rsidR="00375E0D" w:rsidRPr="00801EBE">
        <w:rPr>
          <w:sz w:val="26"/>
          <w:szCs w:val="26"/>
        </w:rPr>
        <w:t xml:space="preserve">năng động </w:t>
      </w:r>
      <w:r w:rsidR="00375E0D" w:rsidRPr="00801EBE">
        <w:rPr>
          <w:sz w:val="26"/>
          <w:szCs w:val="26"/>
        </w:rPr>
        <w:t>của chính quyền địa phương</w:t>
      </w:r>
      <w:r w:rsidR="00375E0D" w:rsidRPr="00801EBE">
        <w:rPr>
          <w:sz w:val="26"/>
          <w:szCs w:val="26"/>
        </w:rPr>
        <w:t>)</w:t>
      </w:r>
      <w:r w:rsidR="00801EBE">
        <w:rPr>
          <w:sz w:val="26"/>
          <w:szCs w:val="26"/>
        </w:rPr>
        <w:t xml:space="preserve"> có tình trạng thực hiện nổi bật hơn các yếu tố khác. </w:t>
      </w:r>
      <w:r w:rsidR="00AF057B">
        <w:rPr>
          <w:sz w:val="26"/>
          <w:szCs w:val="26"/>
        </w:rPr>
        <w:t xml:space="preserve">Tuy nhiên, xét về tầm quan trọng, có thể thấy </w:t>
      </w:r>
      <w:r w:rsidR="00AF057B">
        <w:rPr>
          <w:sz w:val="26"/>
          <w:szCs w:val="26"/>
        </w:rPr>
        <w:lastRenderedPageBreak/>
        <w:t xml:space="preserve">vai trò của các yếu tố là khác nhau. Yếu tố SLA mặc dù đang thực hiện tốt, lại không phải là yếu tố có tầm quan trọng cao nhất. Ngược lại, yếu tố </w:t>
      </w:r>
      <w:r w:rsidR="000D7DE1">
        <w:rPr>
          <w:sz w:val="26"/>
          <w:szCs w:val="26"/>
        </w:rPr>
        <w:t>Luật pháp và quy định có tầm quan trọng cao nhất nhưng có mức thực hiện trung bình. Các yếu tố khác cũng có mức thực hiện trung bình trong khi vai có vai trò tương đối quan trọng đối với tăng trưởng.</w:t>
      </w:r>
    </w:p>
    <w:p w14:paraId="7BAAA820" w14:textId="07385155" w:rsidR="00C74DFC" w:rsidRDefault="00213914" w:rsidP="00375E0D">
      <w:pPr>
        <w:pStyle w:val="NormalWeb"/>
        <w:shd w:val="clear" w:color="auto" w:fill="FFFFFF"/>
        <w:spacing w:before="0" w:beforeAutospacing="0" w:after="225" w:afterAutospacing="0" w:line="276" w:lineRule="auto"/>
        <w:jc w:val="center"/>
        <w:rPr>
          <w:color w:val="000000"/>
        </w:rPr>
      </w:pPr>
      <w:r w:rsidRPr="00BA4C4E">
        <w:rPr>
          <w:noProof/>
        </w:rPr>
        <w:drawing>
          <wp:inline distT="0" distB="0" distL="0" distR="0" wp14:anchorId="3364C2E6" wp14:editId="3B95AF85">
            <wp:extent cx="4434062" cy="2540000"/>
            <wp:effectExtent l="0" t="0" r="5080" b="0"/>
            <wp:docPr id="4" name="Picture 1" descr="Picture">
              <a:extLst xmlns:a="http://schemas.openxmlformats.org/drawingml/2006/main">
                <a:ext uri="{FF2B5EF4-FFF2-40B4-BE49-F238E27FC236}">
                  <a16:creationId xmlns:a16="http://schemas.microsoft.com/office/drawing/2014/main"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Picture">
                      <a:extLst>
                        <a:ext uri="{FF2B5EF4-FFF2-40B4-BE49-F238E27FC236}">
                          <a16:creationId xmlns:a16="http://schemas.microsoft.com/office/drawing/2014/main" id="{00000000-0008-0000-0200-000003000000}"/>
                        </a:ext>
                      </a:extLst>
                    </pic:cNvPr>
                    <pic:cNvPicPr>
                      <a:picLocks noChangeAspect="1"/>
                    </pic:cNvPicPr>
                  </pic:nvPicPr>
                  <pic:blipFill>
                    <a:blip r:embed="rId10"/>
                    <a:stretch>
                      <a:fillRect/>
                    </a:stretch>
                  </pic:blipFill>
                  <pic:spPr>
                    <a:xfrm>
                      <a:off x="0" y="0"/>
                      <a:ext cx="4451012" cy="2549710"/>
                    </a:xfrm>
                    <a:prstGeom prst="rect">
                      <a:avLst/>
                    </a:prstGeom>
                  </pic:spPr>
                </pic:pic>
              </a:graphicData>
            </a:graphic>
          </wp:inline>
        </w:drawing>
      </w:r>
    </w:p>
    <w:p w14:paraId="181DCC02" w14:textId="52BAE3CB" w:rsidR="009D747E" w:rsidRDefault="00CF65D7" w:rsidP="00CF65D7">
      <w:pPr>
        <w:pStyle w:val="Heading1"/>
      </w:pPr>
      <w:r>
        <w:t>Kết luận</w:t>
      </w:r>
    </w:p>
    <w:p w14:paraId="10FEC0DB" w14:textId="77777777" w:rsidR="0080044E" w:rsidRDefault="00CF65D7" w:rsidP="00CF65D7">
      <w:r>
        <w:tab/>
        <w:t>Nghiên cứu này đóng góp trên phương diện lý thuyết và thực tiễn ở các khía cạnh sau. Thứ nhất, thay vì sử dụng PCI nguyên gốc, PCI đã được rút gọn xuống còn các chỉ số thành phần chính, với các chỉ số chi tiết chính (</w:t>
      </w:r>
      <w:r w:rsidRPr="00CF65D7">
        <w:rPr>
          <w:highlight w:val="yellow"/>
        </w:rPr>
        <w:t>xem lại lập luận này, đây có thể là đóng góp, nhưng cũng có thể là một vấn đề gây tranh cãi, và có thể làm cho kết luận trở thành không đáng thuyết phục, không đáng tin cậy, hoặc ít nhất chỉ số PCI và các chỉ số thành phần ở đây không phải là PCI và các chỉ số thành phần được công bố và được sử dụng ở các nghiên cứu khác, do đó kết quả là khó so sánh được</w:t>
      </w:r>
      <w:r>
        <w:t>). Thứ hai, nghiên cứu đã một lần nữa xác định và chỉ ra các thành tựu và đóng góp của yếu tố quản trị kinh tế mà các địa phương đã đạt được đến tăng trưởng kinh tế của địa phương. Thứ ba, nghiên cứu sử dụng một tiếp cận tương đối mới trong phương pháp PLS-SEM là sử dụng ma trận Tầm quan trọng-Thực hiện trong xem xét vấn đề vai trò của PCI, từ đây giúp đưa ra các gợi ý về mức độ ưu tiên trong việc cải thiện PCI.</w:t>
      </w:r>
      <w:r w:rsidR="00AF422B">
        <w:t xml:space="preserve"> </w:t>
      </w:r>
    </w:p>
    <w:p w14:paraId="1B2C36FB" w14:textId="6922B00B" w:rsidR="00375E0D" w:rsidRPr="0080044E" w:rsidRDefault="00AF422B" w:rsidP="0080044E">
      <w:pPr>
        <w:ind w:firstLine="720"/>
      </w:pPr>
      <w:r>
        <w:rPr>
          <w:lang w:val="en-US"/>
        </w:rPr>
        <w:lastRenderedPageBreak/>
        <w:t>Kết quả cho thấy yếu tố Luật pháp và Quy định có tầm quan trọng cao nhất, nhưng hiện đang có mức thực hiện trung bình, trong khi đó yếu tố Tính năng động của chính quyền địa phương hiện đang có mức thực hiện cao, trong khi đây không phải là yếu tố quan trọng nhất. Các kết quả này có những hàm ý đáng tham khảo cho các địa phương trong chiến lược cải thiện PCI của mình.</w:t>
      </w:r>
    </w:p>
    <w:p w14:paraId="674FB6C3" w14:textId="781257C3" w:rsidR="007F3599" w:rsidRDefault="007F3599" w:rsidP="0038548E">
      <w:pPr>
        <w:pStyle w:val="Heading1"/>
      </w:pPr>
      <w:r>
        <w:t>Tài liệu tham khảo</w:t>
      </w:r>
    </w:p>
    <w:p w14:paraId="5E15DA4B" w14:textId="0C1E71CC" w:rsidR="007778B7" w:rsidRPr="00530882" w:rsidRDefault="007778B7" w:rsidP="00530882">
      <w:pPr>
        <w:pStyle w:val="Bibliography"/>
        <w:rPr>
          <w:shd w:val="clear" w:color="auto" w:fill="FFFFFF"/>
        </w:rPr>
      </w:pPr>
      <w:r>
        <w:rPr>
          <w:shd w:val="clear" w:color="auto" w:fill="FFFFFF"/>
        </w:rPr>
        <w:t>Al-Naser, M. H. (2019). Public governance and economic growth: conceptual framework. </w:t>
      </w:r>
      <w:r>
        <w:rPr>
          <w:i/>
          <w:iCs/>
          <w:shd w:val="clear" w:color="auto" w:fill="FFFFFF"/>
        </w:rPr>
        <w:t>International Journal of Business Ethics and Governance</w:t>
      </w:r>
      <w:r>
        <w:rPr>
          <w:shd w:val="clear" w:color="auto" w:fill="FFFFFF"/>
        </w:rPr>
        <w:t>, </w:t>
      </w:r>
      <w:r>
        <w:rPr>
          <w:i/>
          <w:iCs/>
          <w:shd w:val="clear" w:color="auto" w:fill="FFFFFF"/>
        </w:rPr>
        <w:t>2</w:t>
      </w:r>
      <w:r>
        <w:rPr>
          <w:shd w:val="clear" w:color="auto" w:fill="FFFFFF"/>
        </w:rPr>
        <w:t>(2), 1-15.</w:t>
      </w:r>
    </w:p>
    <w:p w14:paraId="76238B42" w14:textId="0D99BDDF" w:rsidR="007F3599" w:rsidRPr="00625FEE" w:rsidRDefault="007F3599" w:rsidP="007F3599">
      <w:pPr>
        <w:pStyle w:val="Bibliography"/>
        <w:spacing w:line="276" w:lineRule="auto"/>
        <w:rPr>
          <w:noProof/>
        </w:rPr>
      </w:pPr>
      <w:r w:rsidRPr="00625FEE">
        <w:rPr>
          <w:noProof/>
        </w:rPr>
        <w:t xml:space="preserve">Doan, T., Tran, T. Q., &amp; Nguyen, H. (2018). Provincial Competitiveness And Labour Market Returns In Vietnam. </w:t>
      </w:r>
      <w:r w:rsidRPr="00625FEE">
        <w:rPr>
          <w:i/>
          <w:iCs/>
          <w:noProof/>
        </w:rPr>
        <w:t>Hitotsubashi Journal of Economics</w:t>
      </w:r>
      <w:r w:rsidRPr="00625FEE">
        <w:rPr>
          <w:noProof/>
        </w:rPr>
        <w:t>.</w:t>
      </w:r>
    </w:p>
    <w:p w14:paraId="6B7F5DF3" w14:textId="77777777" w:rsidR="003F0A4A" w:rsidRPr="00625FEE" w:rsidRDefault="003F0A4A" w:rsidP="003F0A4A">
      <w:pPr>
        <w:pStyle w:val="Bibliography"/>
        <w:spacing w:line="276" w:lineRule="auto"/>
        <w:rPr>
          <w:noProof/>
        </w:rPr>
      </w:pPr>
      <w:r w:rsidRPr="00625FEE">
        <w:rPr>
          <w:noProof/>
        </w:rPr>
        <w:t xml:space="preserve">Linh, H. X., &amp; Xuân, T. T. (2017). Đánh giá năng lực cạnh tranh cấp tỉnh dưới góc nhìn doanh nghiệp. </w:t>
      </w:r>
      <w:r w:rsidRPr="00625FEE">
        <w:rPr>
          <w:i/>
          <w:iCs/>
          <w:noProof/>
        </w:rPr>
        <w:t xml:space="preserve">Tài chính </w:t>
      </w:r>
      <w:r w:rsidRPr="00625FEE">
        <w:rPr>
          <w:noProof/>
        </w:rPr>
        <w:t>.</w:t>
      </w:r>
    </w:p>
    <w:p w14:paraId="7A3E8869" w14:textId="6BB59EEE" w:rsidR="003F0A4A" w:rsidRDefault="003F0A4A" w:rsidP="003F0A4A">
      <w:pPr>
        <w:pStyle w:val="Bibliography"/>
        <w:spacing w:line="276" w:lineRule="auto"/>
        <w:rPr>
          <w:noProof/>
        </w:rPr>
      </w:pPr>
      <w:r w:rsidRPr="00625FEE">
        <w:rPr>
          <w:noProof/>
        </w:rPr>
        <w:t xml:space="preserve">Thanh, P. N. (2011). </w:t>
      </w:r>
      <w:r w:rsidRPr="00625FEE">
        <w:rPr>
          <w:i/>
          <w:iCs/>
          <w:noProof/>
        </w:rPr>
        <w:t>Nghiên cứu nâng cao chỉ số năng lực cạnh tranh cấp tỉnh PCI của tỉnh Hải Dương.</w:t>
      </w:r>
      <w:r w:rsidRPr="00625FEE">
        <w:rPr>
          <w:noProof/>
        </w:rPr>
        <w:t xml:space="preserve"> Đại học Kinh tế Quốc dân.</w:t>
      </w:r>
    </w:p>
    <w:p w14:paraId="3B8BFB52" w14:textId="77777777" w:rsidR="00936B9B" w:rsidRPr="006215C0" w:rsidRDefault="00936B9B" w:rsidP="00936B9B">
      <w:pPr>
        <w:pStyle w:val="Bibliography"/>
        <w:rPr>
          <w:szCs w:val="26"/>
        </w:rPr>
      </w:pPr>
      <w:r w:rsidRPr="006215C0">
        <w:rPr>
          <w:szCs w:val="26"/>
        </w:rPr>
        <w:t xml:space="preserve">Perkins, D. H., Radelet, S. C., Lindauer, D. L., &amp; Block, S. A. (2006). </w:t>
      </w:r>
      <w:r w:rsidRPr="006215C0">
        <w:rPr>
          <w:i/>
          <w:iCs/>
          <w:szCs w:val="26"/>
        </w:rPr>
        <w:t xml:space="preserve">Economics of </w:t>
      </w:r>
      <w:r>
        <w:rPr>
          <w:i/>
          <w:iCs/>
          <w:szCs w:val="26"/>
        </w:rPr>
        <w:t>D</w:t>
      </w:r>
      <w:r w:rsidRPr="006215C0">
        <w:rPr>
          <w:i/>
          <w:iCs/>
          <w:szCs w:val="26"/>
        </w:rPr>
        <w:t>evelopment</w:t>
      </w:r>
      <w:r w:rsidRPr="006215C0">
        <w:rPr>
          <w:szCs w:val="26"/>
        </w:rPr>
        <w:t>. New York: WW Norton &amp; Company.</w:t>
      </w:r>
    </w:p>
    <w:p w14:paraId="172C8346" w14:textId="77777777" w:rsidR="00936B9B" w:rsidRDefault="00936B9B" w:rsidP="00936B9B">
      <w:pPr>
        <w:pStyle w:val="Bibliography"/>
        <w:rPr>
          <w:shd w:val="clear" w:color="auto" w:fill="FFFFFF"/>
        </w:rPr>
      </w:pPr>
      <w:r>
        <w:rPr>
          <w:shd w:val="clear" w:color="auto" w:fill="FFFFFF"/>
        </w:rPr>
        <w:t>World Bank. (1992). </w:t>
      </w:r>
      <w:r>
        <w:rPr>
          <w:i/>
          <w:iCs/>
          <w:shd w:val="clear" w:color="auto" w:fill="FFFFFF"/>
        </w:rPr>
        <w:t>Governance and development</w:t>
      </w:r>
      <w:r>
        <w:rPr>
          <w:shd w:val="clear" w:color="auto" w:fill="FFFFFF"/>
        </w:rPr>
        <w:t>. The World Bank.</w:t>
      </w:r>
    </w:p>
    <w:p w14:paraId="21B4C2AA" w14:textId="34AEAD6E" w:rsidR="00936B9B" w:rsidRDefault="00936B9B" w:rsidP="00936B9B">
      <w:pPr>
        <w:pStyle w:val="Bibliography"/>
        <w:rPr>
          <w:shd w:val="clear" w:color="auto" w:fill="FFFFFF"/>
        </w:rPr>
      </w:pPr>
      <w:r>
        <w:rPr>
          <w:shd w:val="clear" w:color="auto" w:fill="FFFFFF"/>
        </w:rPr>
        <w:t>World Bank. (1994). </w:t>
      </w:r>
      <w:r w:rsidRPr="00CD3187">
        <w:rPr>
          <w:i/>
          <w:iCs/>
          <w:shd w:val="clear" w:color="auto" w:fill="FFFFFF"/>
        </w:rPr>
        <w:t>Governance: the World Bank's experience</w:t>
      </w:r>
      <w:r>
        <w:rPr>
          <w:shd w:val="clear" w:color="auto" w:fill="FFFFFF"/>
        </w:rPr>
        <w:t>. The World Bank.</w:t>
      </w:r>
    </w:p>
    <w:p w14:paraId="368C71EB" w14:textId="77777777" w:rsidR="005402CF" w:rsidRDefault="005402CF" w:rsidP="005402CF">
      <w:pPr>
        <w:pStyle w:val="Bibliography"/>
        <w:rPr>
          <w:shd w:val="clear" w:color="auto" w:fill="FFFFFF"/>
        </w:rPr>
      </w:pPr>
      <w:r>
        <w:rPr>
          <w:shd w:val="clear" w:color="auto" w:fill="FFFFFF"/>
        </w:rPr>
        <w:t>Mira, R., &amp; Hammadache, A. (2017a). Relationship Between Good Governance and Economic Growth. A Contribution to the Institutional Debate About State Failure in Developing Countries. </w:t>
      </w:r>
      <w:r>
        <w:rPr>
          <w:i/>
          <w:iCs/>
          <w:shd w:val="clear" w:color="auto" w:fill="FFFFFF"/>
        </w:rPr>
        <w:t>A Contribution to the Institutional Debate About State Failure in Developing Countries.(April 1, 2017). CEPN Centre d’économie de l’Université Paris Nord CNRS UMR</w:t>
      </w:r>
      <w:r>
        <w:rPr>
          <w:shd w:val="clear" w:color="auto" w:fill="FFFFFF"/>
        </w:rPr>
        <w:t>, (7234).</w:t>
      </w:r>
    </w:p>
    <w:p w14:paraId="118F42C1" w14:textId="4AC4728A" w:rsidR="005C767F" w:rsidRDefault="005C767F" w:rsidP="005C767F">
      <w:pPr>
        <w:pStyle w:val="Bibliography"/>
        <w:rPr>
          <w:shd w:val="clear" w:color="auto" w:fill="FFFFFF"/>
        </w:rPr>
      </w:pPr>
      <w:r>
        <w:rPr>
          <w:shd w:val="clear" w:color="auto" w:fill="FFFFFF"/>
        </w:rPr>
        <w:t>Mira, R., &amp; Hammadache, A. (2017b). Good governance and economic growth: A contribution to the institutional debate about state failure in Middle East and North Africa. </w:t>
      </w:r>
      <w:r>
        <w:rPr>
          <w:i/>
          <w:iCs/>
          <w:shd w:val="clear" w:color="auto" w:fill="FFFFFF"/>
        </w:rPr>
        <w:t>Asian Journal of Middle Eastern and Islamic Studies</w:t>
      </w:r>
      <w:r>
        <w:rPr>
          <w:shd w:val="clear" w:color="auto" w:fill="FFFFFF"/>
        </w:rPr>
        <w:t>, </w:t>
      </w:r>
      <w:r>
        <w:rPr>
          <w:i/>
          <w:iCs/>
          <w:shd w:val="clear" w:color="auto" w:fill="FFFFFF"/>
        </w:rPr>
        <w:t>11</w:t>
      </w:r>
      <w:r>
        <w:rPr>
          <w:shd w:val="clear" w:color="auto" w:fill="FFFFFF"/>
        </w:rPr>
        <w:t>(3), 107-120.</w:t>
      </w:r>
    </w:p>
    <w:p w14:paraId="39A99C73" w14:textId="77777777" w:rsidR="007778B7" w:rsidRPr="00A5125E" w:rsidRDefault="007778B7" w:rsidP="007778B7">
      <w:pPr>
        <w:pStyle w:val="Bibliography"/>
        <w:rPr>
          <w:lang w:eastAsia="en-GB"/>
        </w:rPr>
      </w:pPr>
      <w:r w:rsidRPr="00A5125E">
        <w:rPr>
          <w:lang w:eastAsia="en-GB"/>
        </w:rPr>
        <w:t>Kaufmann, D.</w:t>
      </w:r>
      <w:r>
        <w:rPr>
          <w:lang w:eastAsia="en-GB"/>
        </w:rPr>
        <w:t xml:space="preserve">, </w:t>
      </w:r>
      <w:r w:rsidRPr="00A5125E">
        <w:rPr>
          <w:lang w:eastAsia="en-GB"/>
        </w:rPr>
        <w:t xml:space="preserve">Kraay, A., </w:t>
      </w:r>
      <w:r>
        <w:rPr>
          <w:lang w:eastAsia="en-GB"/>
        </w:rPr>
        <w:t xml:space="preserve">&amp; </w:t>
      </w:r>
      <w:r w:rsidRPr="00A5125E">
        <w:rPr>
          <w:lang w:eastAsia="en-GB"/>
        </w:rPr>
        <w:t xml:space="preserve">Zoido-Lobaton, P. (1999). </w:t>
      </w:r>
      <w:r w:rsidRPr="00A5125E">
        <w:rPr>
          <w:i/>
          <w:iCs/>
          <w:lang w:eastAsia="en-GB"/>
        </w:rPr>
        <w:t>Governance matters</w:t>
      </w:r>
      <w:r w:rsidRPr="00A5125E">
        <w:rPr>
          <w:lang w:eastAsia="en-GB"/>
        </w:rPr>
        <w:t>. The World Bank.</w:t>
      </w:r>
    </w:p>
    <w:p w14:paraId="3AE3C3B7" w14:textId="77777777" w:rsidR="007778B7" w:rsidRDefault="007778B7" w:rsidP="007778B7">
      <w:pPr>
        <w:pStyle w:val="Bibliography"/>
        <w:rPr>
          <w:shd w:val="clear" w:color="auto" w:fill="FFFFFF"/>
        </w:rPr>
      </w:pPr>
      <w:r>
        <w:rPr>
          <w:shd w:val="clear" w:color="auto" w:fill="FFFFFF"/>
        </w:rPr>
        <w:t>Kraipornsak, P. (2018). Good governance and economic growth: An investigation of Thailand and selected Asian countries. </w:t>
      </w:r>
      <w:r>
        <w:rPr>
          <w:i/>
          <w:iCs/>
          <w:shd w:val="clear" w:color="auto" w:fill="FFFFFF"/>
        </w:rPr>
        <w:t>Eurasian Journal of Economics and Finance</w:t>
      </w:r>
      <w:r>
        <w:rPr>
          <w:shd w:val="clear" w:color="auto" w:fill="FFFFFF"/>
        </w:rPr>
        <w:t>, </w:t>
      </w:r>
      <w:r>
        <w:rPr>
          <w:i/>
          <w:iCs/>
          <w:shd w:val="clear" w:color="auto" w:fill="FFFFFF"/>
        </w:rPr>
        <w:t>6</w:t>
      </w:r>
      <w:r>
        <w:rPr>
          <w:shd w:val="clear" w:color="auto" w:fill="FFFFFF"/>
        </w:rPr>
        <w:t>(1), 93-106.</w:t>
      </w:r>
    </w:p>
    <w:p w14:paraId="742F3AA8" w14:textId="4A299800" w:rsidR="00C167D0" w:rsidRDefault="00C167D0" w:rsidP="00C167D0">
      <w:pPr>
        <w:pStyle w:val="Bibliography"/>
        <w:rPr>
          <w:lang w:eastAsia="en-GB"/>
        </w:rPr>
      </w:pPr>
      <w:r w:rsidRPr="00A405DE">
        <w:rPr>
          <w:lang w:eastAsia="en-GB"/>
        </w:rPr>
        <w:t>Nanda, V. P. (2006). The “Good Governance” Concept Revisited. </w:t>
      </w:r>
      <w:r w:rsidRPr="00A405DE">
        <w:rPr>
          <w:i/>
          <w:iCs/>
          <w:lang w:eastAsia="en-GB"/>
        </w:rPr>
        <w:t>The Annals of the American Academy of Political and Social Science</w:t>
      </w:r>
      <w:r w:rsidRPr="00A405DE">
        <w:rPr>
          <w:lang w:eastAsia="en-GB"/>
        </w:rPr>
        <w:t>, </w:t>
      </w:r>
      <w:r w:rsidRPr="00A405DE">
        <w:rPr>
          <w:i/>
          <w:iCs/>
          <w:lang w:eastAsia="en-GB"/>
        </w:rPr>
        <w:t>603</w:t>
      </w:r>
      <w:r w:rsidRPr="00A405DE">
        <w:rPr>
          <w:lang w:eastAsia="en-GB"/>
        </w:rPr>
        <w:t>, 269–283</w:t>
      </w:r>
      <w:r>
        <w:rPr>
          <w:lang w:eastAsia="en-GB"/>
        </w:rPr>
        <w:t>.</w:t>
      </w:r>
    </w:p>
    <w:p w14:paraId="19E520E8" w14:textId="075A0773" w:rsidR="00CD6264" w:rsidRDefault="00CD6264" w:rsidP="00CD6264">
      <w:pPr>
        <w:pStyle w:val="Bibliography"/>
        <w:rPr>
          <w:shd w:val="clear" w:color="auto" w:fill="FFFFFF"/>
        </w:rPr>
      </w:pPr>
      <w:r>
        <w:rPr>
          <w:shd w:val="clear" w:color="auto" w:fill="FFFFFF"/>
        </w:rPr>
        <w:lastRenderedPageBreak/>
        <w:t>Boldeanu, F. T., &amp; Constantinescu, L. (2015). The main determinants affecting economic growth. </w:t>
      </w:r>
      <w:r>
        <w:rPr>
          <w:i/>
          <w:iCs/>
          <w:shd w:val="clear" w:color="auto" w:fill="FFFFFF"/>
        </w:rPr>
        <w:t>Bulletin of the Transilvania University of Brasov. Economic Sciences. Series V</w:t>
      </w:r>
      <w:r>
        <w:rPr>
          <w:shd w:val="clear" w:color="auto" w:fill="FFFFFF"/>
        </w:rPr>
        <w:t>, </w:t>
      </w:r>
      <w:r>
        <w:rPr>
          <w:i/>
          <w:iCs/>
          <w:shd w:val="clear" w:color="auto" w:fill="FFFFFF"/>
        </w:rPr>
        <w:t>8</w:t>
      </w:r>
      <w:r>
        <w:rPr>
          <w:shd w:val="clear" w:color="auto" w:fill="FFFFFF"/>
        </w:rPr>
        <w:t>(2), 329.</w:t>
      </w:r>
    </w:p>
    <w:p w14:paraId="5B734AFC" w14:textId="77777777" w:rsidR="006C220E" w:rsidRDefault="006C220E" w:rsidP="006C220E">
      <w:pPr>
        <w:pStyle w:val="Bibliography"/>
        <w:rPr>
          <w:shd w:val="clear" w:color="auto" w:fill="FFFFFF"/>
        </w:rPr>
      </w:pPr>
      <w:r>
        <w:rPr>
          <w:shd w:val="clear" w:color="auto" w:fill="FFFFFF"/>
        </w:rPr>
        <w:t>Chirwa, T. G., &amp; Odhiambo, N. M. (2016). Macroeconomic determinants of economic growth: A review of international literature. </w:t>
      </w:r>
      <w:r>
        <w:rPr>
          <w:i/>
          <w:iCs/>
          <w:shd w:val="clear" w:color="auto" w:fill="FFFFFF"/>
        </w:rPr>
        <w:t>The South East European Journal of Economics and Business</w:t>
      </w:r>
      <w:r>
        <w:rPr>
          <w:shd w:val="clear" w:color="auto" w:fill="FFFFFF"/>
        </w:rPr>
        <w:t>, </w:t>
      </w:r>
      <w:r>
        <w:rPr>
          <w:i/>
          <w:iCs/>
          <w:shd w:val="clear" w:color="auto" w:fill="FFFFFF"/>
        </w:rPr>
        <w:t>11</w:t>
      </w:r>
      <w:r>
        <w:rPr>
          <w:shd w:val="clear" w:color="auto" w:fill="FFFFFF"/>
        </w:rPr>
        <w:t>(2).</w:t>
      </w:r>
    </w:p>
    <w:p w14:paraId="41962001" w14:textId="77777777" w:rsidR="005519C1" w:rsidRDefault="005519C1" w:rsidP="005519C1">
      <w:pPr>
        <w:pStyle w:val="Bibliography"/>
        <w:rPr>
          <w:lang w:eastAsia="en-GB"/>
        </w:rPr>
      </w:pPr>
      <w:r w:rsidRPr="00EB2E2F">
        <w:rPr>
          <w:lang w:eastAsia="en-GB"/>
        </w:rPr>
        <w:t xml:space="preserve">Stoica, O., Roman, A., &amp; Rusu, V. D. (2020). The Nexus between Entrepreneurship and Economic Growth: A Comparative Analysis on Groups of Countries. </w:t>
      </w:r>
      <w:r w:rsidRPr="00EB2E2F">
        <w:rPr>
          <w:i/>
          <w:iCs/>
          <w:lang w:eastAsia="en-GB"/>
        </w:rPr>
        <w:t>Sustainability</w:t>
      </w:r>
      <w:r w:rsidRPr="00EB2E2F">
        <w:rPr>
          <w:lang w:eastAsia="en-GB"/>
        </w:rPr>
        <w:t xml:space="preserve">, </w:t>
      </w:r>
      <w:r w:rsidRPr="00EB2E2F">
        <w:rPr>
          <w:i/>
          <w:iCs/>
          <w:lang w:eastAsia="en-GB"/>
        </w:rPr>
        <w:t>12</w:t>
      </w:r>
      <w:r w:rsidRPr="00EB2E2F">
        <w:rPr>
          <w:lang w:eastAsia="en-GB"/>
        </w:rPr>
        <w:t>(3), 1186</w:t>
      </w:r>
      <w:r>
        <w:rPr>
          <w:lang w:eastAsia="en-GB"/>
        </w:rPr>
        <w:t>.</w:t>
      </w:r>
    </w:p>
    <w:p w14:paraId="28BD2560" w14:textId="47670F13" w:rsidR="00B21899" w:rsidRDefault="00B21899" w:rsidP="00B21899">
      <w:pPr>
        <w:pStyle w:val="Bibliography"/>
        <w:rPr>
          <w:shd w:val="clear" w:color="auto" w:fill="FFFFFF"/>
        </w:rPr>
      </w:pPr>
      <w:r>
        <w:t xml:space="preserve"> </w:t>
      </w:r>
      <w:r>
        <w:rPr>
          <w:shd w:val="clear" w:color="auto" w:fill="FFFFFF"/>
        </w:rPr>
        <w:t>Islam, M. R., &amp; McGillivray, M. (2020). Wealth inequality, governance and economic growth. </w:t>
      </w:r>
      <w:r>
        <w:rPr>
          <w:i/>
          <w:iCs/>
          <w:shd w:val="clear" w:color="auto" w:fill="FFFFFF"/>
        </w:rPr>
        <w:t>Economic Modelling</w:t>
      </w:r>
      <w:r>
        <w:rPr>
          <w:shd w:val="clear" w:color="auto" w:fill="FFFFFF"/>
        </w:rPr>
        <w:t>, </w:t>
      </w:r>
      <w:r>
        <w:rPr>
          <w:i/>
          <w:iCs/>
          <w:shd w:val="clear" w:color="auto" w:fill="FFFFFF"/>
        </w:rPr>
        <w:t>88</w:t>
      </w:r>
      <w:r>
        <w:rPr>
          <w:shd w:val="clear" w:color="auto" w:fill="FFFFFF"/>
        </w:rPr>
        <w:t>, 1-13.</w:t>
      </w:r>
    </w:p>
    <w:p w14:paraId="19ABAE31" w14:textId="77777777" w:rsidR="008E3D39" w:rsidRPr="00625FEE" w:rsidRDefault="008E3D39" w:rsidP="008E3D39">
      <w:pPr>
        <w:pStyle w:val="Bibliography"/>
        <w:spacing w:line="276" w:lineRule="auto"/>
        <w:rPr>
          <w:noProof/>
        </w:rPr>
      </w:pPr>
      <w:r w:rsidRPr="00625FEE">
        <w:rPr>
          <w:noProof/>
        </w:rPr>
        <w:t xml:space="preserve">Bland, G., &amp; Vaz, P. (2017). </w:t>
      </w:r>
      <w:r w:rsidRPr="00625FEE">
        <w:rPr>
          <w:i/>
          <w:iCs/>
          <w:noProof/>
        </w:rPr>
        <w:t>An Effective Tool for Promoting Local Growth and Competitiveness? The Sustainability of the Subnational Business Environment Index.</w:t>
      </w:r>
      <w:r w:rsidRPr="00625FEE">
        <w:rPr>
          <w:noProof/>
        </w:rPr>
        <w:t xml:space="preserve"> RTI Press.</w:t>
      </w:r>
    </w:p>
    <w:p w14:paraId="5E49754F" w14:textId="77777777" w:rsidR="00541CD2" w:rsidRDefault="00541CD2" w:rsidP="00541CD2">
      <w:pPr>
        <w:pStyle w:val="Bibliography"/>
        <w:rPr>
          <w:shd w:val="clear" w:color="auto" w:fill="FFFFFF"/>
        </w:rPr>
      </w:pPr>
      <w:r>
        <w:rPr>
          <w:shd w:val="clear" w:color="auto" w:fill="FFFFFF"/>
        </w:rPr>
        <w:t>Villamejor-Mendoza, M. F. (2020). Competitive cities: implications for better public service. </w:t>
      </w:r>
      <w:r>
        <w:rPr>
          <w:i/>
          <w:iCs/>
          <w:shd w:val="clear" w:color="auto" w:fill="FFFFFF"/>
        </w:rPr>
        <w:t>Policy Design and Practice</w:t>
      </w:r>
      <w:r>
        <w:rPr>
          <w:shd w:val="clear" w:color="auto" w:fill="FFFFFF"/>
        </w:rPr>
        <w:t>, </w:t>
      </w:r>
      <w:r>
        <w:rPr>
          <w:i/>
          <w:iCs/>
          <w:shd w:val="clear" w:color="auto" w:fill="FFFFFF"/>
        </w:rPr>
        <w:t>3</w:t>
      </w:r>
      <w:r>
        <w:rPr>
          <w:shd w:val="clear" w:color="auto" w:fill="FFFFFF"/>
        </w:rPr>
        <w:t>(4), 445-461.</w:t>
      </w:r>
    </w:p>
    <w:p w14:paraId="65A6E2FA" w14:textId="77777777" w:rsidR="00E8305E" w:rsidRDefault="00E8305E" w:rsidP="00E8305E">
      <w:pPr>
        <w:pStyle w:val="Bibliography"/>
        <w:rPr>
          <w:shd w:val="clear" w:color="auto" w:fill="FFFFFF"/>
        </w:rPr>
      </w:pPr>
      <w:r>
        <w:rPr>
          <w:shd w:val="clear" w:color="auto" w:fill="FFFFFF"/>
        </w:rPr>
        <w:t>Aquino, M. G. (2019). A Cross-Sectional Analysis of the Importance of Government Efficiency in Firm Location Decisions of New Businesses in Philippine Cities in 2018. </w:t>
      </w:r>
      <w:r>
        <w:rPr>
          <w:i/>
          <w:iCs/>
          <w:shd w:val="clear" w:color="auto" w:fill="FFFFFF"/>
        </w:rPr>
        <w:t>Asian Journal of International Studies (AJIS)</w:t>
      </w:r>
      <w:r>
        <w:rPr>
          <w:shd w:val="clear" w:color="auto" w:fill="FFFFFF"/>
        </w:rPr>
        <w:t>, </w:t>
      </w:r>
      <w:r>
        <w:rPr>
          <w:i/>
          <w:iCs/>
          <w:shd w:val="clear" w:color="auto" w:fill="FFFFFF"/>
        </w:rPr>
        <w:t>24</w:t>
      </w:r>
      <w:r>
        <w:rPr>
          <w:shd w:val="clear" w:color="auto" w:fill="FFFFFF"/>
        </w:rPr>
        <w:t>, 1-31.</w:t>
      </w:r>
    </w:p>
    <w:p w14:paraId="6827692E" w14:textId="77777777" w:rsidR="00C260BD" w:rsidRDefault="00C260BD" w:rsidP="00C260BD">
      <w:pPr>
        <w:pStyle w:val="Bibliography"/>
        <w:rPr>
          <w:shd w:val="clear" w:color="auto" w:fill="FFFFFF"/>
        </w:rPr>
      </w:pPr>
      <w:r>
        <w:rPr>
          <w:shd w:val="clear" w:color="auto" w:fill="FFFFFF"/>
        </w:rPr>
        <w:t>Thanh, S. D., &amp; Canh, N. P. (2020). Fiscal decentralization and economic growth of Vietnamese provinces: The role of local public governance. </w:t>
      </w:r>
      <w:r>
        <w:rPr>
          <w:i/>
          <w:iCs/>
          <w:shd w:val="clear" w:color="auto" w:fill="FFFFFF"/>
        </w:rPr>
        <w:t>Annals of Public and Cooperative Economics</w:t>
      </w:r>
      <w:r>
        <w:rPr>
          <w:shd w:val="clear" w:color="auto" w:fill="FFFFFF"/>
        </w:rPr>
        <w:t>, </w:t>
      </w:r>
      <w:r>
        <w:rPr>
          <w:i/>
          <w:iCs/>
          <w:shd w:val="clear" w:color="auto" w:fill="FFFFFF"/>
        </w:rPr>
        <w:t>91</w:t>
      </w:r>
      <w:r>
        <w:rPr>
          <w:shd w:val="clear" w:color="auto" w:fill="FFFFFF"/>
        </w:rPr>
        <w:t>(1), 119-149.</w:t>
      </w:r>
    </w:p>
    <w:p w14:paraId="4AFAE965" w14:textId="77777777" w:rsidR="00C260BD" w:rsidRDefault="00C260BD" w:rsidP="00C260BD">
      <w:pPr>
        <w:pStyle w:val="Bibliography"/>
        <w:rPr>
          <w:shd w:val="clear" w:color="auto" w:fill="FFFFFF"/>
        </w:rPr>
      </w:pPr>
      <w:r>
        <w:rPr>
          <w:shd w:val="clear" w:color="auto" w:fill="FFFFFF"/>
        </w:rPr>
        <w:t>Thanh, S. D., &amp; Hoai, B. T. M. (2020). Local governance, private investment and economic growth: The case of Vietnamese provinces. </w:t>
      </w:r>
      <w:r>
        <w:rPr>
          <w:i/>
          <w:iCs/>
          <w:shd w:val="clear" w:color="auto" w:fill="FFFFFF"/>
        </w:rPr>
        <w:t>Journal of Economic Development</w:t>
      </w:r>
      <w:r>
        <w:rPr>
          <w:shd w:val="clear" w:color="auto" w:fill="FFFFFF"/>
        </w:rPr>
        <w:t>, </w:t>
      </w:r>
      <w:r>
        <w:rPr>
          <w:i/>
          <w:iCs/>
          <w:shd w:val="clear" w:color="auto" w:fill="FFFFFF"/>
        </w:rPr>
        <w:t>24</w:t>
      </w:r>
      <w:r>
        <w:rPr>
          <w:shd w:val="clear" w:color="auto" w:fill="FFFFFF"/>
        </w:rPr>
        <w:t>(4), 04-28.</w:t>
      </w:r>
    </w:p>
    <w:p w14:paraId="16D89FCF" w14:textId="4E7A80E1" w:rsidR="00C260BD" w:rsidRDefault="00C260BD" w:rsidP="00C260BD">
      <w:pPr>
        <w:pStyle w:val="Bibliography"/>
        <w:rPr>
          <w:shd w:val="clear" w:color="auto" w:fill="FFFFFF"/>
        </w:rPr>
      </w:pPr>
      <w:r>
        <w:rPr>
          <w:shd w:val="clear" w:color="auto" w:fill="FFFFFF"/>
        </w:rPr>
        <w:t>Thanh, S. D., Hart, N., &amp; Canh, N. P. (2020). Public spending, public governance and economic growth at the Vietnamese provincial level: A disaggregate analysis. </w:t>
      </w:r>
      <w:r>
        <w:rPr>
          <w:i/>
          <w:iCs/>
          <w:shd w:val="clear" w:color="auto" w:fill="FFFFFF"/>
        </w:rPr>
        <w:t>Economic Systems</w:t>
      </w:r>
      <w:r>
        <w:rPr>
          <w:shd w:val="clear" w:color="auto" w:fill="FFFFFF"/>
        </w:rPr>
        <w:t>, </w:t>
      </w:r>
      <w:r>
        <w:rPr>
          <w:i/>
          <w:iCs/>
          <w:shd w:val="clear" w:color="auto" w:fill="FFFFFF"/>
        </w:rPr>
        <w:t>44</w:t>
      </w:r>
      <w:r>
        <w:rPr>
          <w:shd w:val="clear" w:color="auto" w:fill="FFFFFF"/>
        </w:rPr>
        <w:t>(4), 100780.</w:t>
      </w:r>
    </w:p>
    <w:p w14:paraId="745ECB18" w14:textId="77777777" w:rsidR="00F415B9" w:rsidRPr="00BA4C4E" w:rsidRDefault="00F415B9" w:rsidP="00F415B9">
      <w:pPr>
        <w:spacing w:line="276" w:lineRule="auto"/>
        <w:rPr>
          <w:sz w:val="22"/>
        </w:rPr>
      </w:pPr>
      <w:r w:rsidRPr="00BA4C4E">
        <w:rPr>
          <w:sz w:val="22"/>
          <w:shd w:val="clear" w:color="auto" w:fill="FFFFFF"/>
        </w:rPr>
        <w:t>Ringle, C. M., &amp; Sarstedt, M. (2016). Gain more insight from your PLS-SEM results: The importance-performance map analysis. </w:t>
      </w:r>
      <w:r w:rsidRPr="00BA4C4E">
        <w:rPr>
          <w:i/>
          <w:iCs/>
          <w:sz w:val="22"/>
          <w:shd w:val="clear" w:color="auto" w:fill="FFFFFF"/>
        </w:rPr>
        <w:t>Industrial management &amp; data systems</w:t>
      </w:r>
      <w:r w:rsidRPr="00BA4C4E">
        <w:rPr>
          <w:sz w:val="22"/>
          <w:shd w:val="clear" w:color="auto" w:fill="FFFFFF"/>
        </w:rPr>
        <w:t>.</w:t>
      </w:r>
    </w:p>
    <w:p w14:paraId="4CAF18FF" w14:textId="77777777" w:rsidR="00F415B9" w:rsidRPr="00F415B9" w:rsidRDefault="00F415B9" w:rsidP="00F415B9">
      <w:pPr>
        <w:rPr>
          <w:lang w:val="en-US"/>
        </w:rPr>
      </w:pPr>
    </w:p>
    <w:p w14:paraId="57BA1B07" w14:textId="77777777" w:rsidR="008E3D39" w:rsidRPr="008E3D39" w:rsidRDefault="008E3D39" w:rsidP="008E3D39">
      <w:pPr>
        <w:rPr>
          <w:lang w:val="en-US"/>
        </w:rPr>
      </w:pPr>
    </w:p>
    <w:sectPr w:rsidR="008E3D39" w:rsidRPr="008E3D39" w:rsidSect="008F006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F185C" w14:textId="77777777" w:rsidR="00C90E90" w:rsidRDefault="00C90E90" w:rsidP="001154D1">
      <w:pPr>
        <w:spacing w:before="0" w:after="0" w:line="240" w:lineRule="auto"/>
      </w:pPr>
      <w:r>
        <w:separator/>
      </w:r>
    </w:p>
  </w:endnote>
  <w:endnote w:type="continuationSeparator" w:id="0">
    <w:p w14:paraId="528EDB52" w14:textId="77777777" w:rsidR="00C90E90" w:rsidRDefault="00C90E90" w:rsidP="001154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761523"/>
      <w:docPartObj>
        <w:docPartGallery w:val="Page Numbers (Bottom of Page)"/>
        <w:docPartUnique/>
      </w:docPartObj>
    </w:sdtPr>
    <w:sdtEndPr>
      <w:rPr>
        <w:noProof/>
      </w:rPr>
    </w:sdtEndPr>
    <w:sdtContent>
      <w:p w14:paraId="4EAD5AFE" w14:textId="060A6D0A" w:rsidR="001154D1" w:rsidRDefault="001154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B93367" w14:textId="77777777" w:rsidR="001154D1" w:rsidRDefault="00115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D3F35" w14:textId="77777777" w:rsidR="00C90E90" w:rsidRDefault="00C90E90" w:rsidP="001154D1">
      <w:pPr>
        <w:spacing w:before="0" w:after="0" w:line="240" w:lineRule="auto"/>
      </w:pPr>
      <w:r>
        <w:separator/>
      </w:r>
    </w:p>
  </w:footnote>
  <w:footnote w:type="continuationSeparator" w:id="0">
    <w:p w14:paraId="20A2BC62" w14:textId="77777777" w:rsidR="00C90E90" w:rsidRDefault="00C90E90" w:rsidP="001154D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6129C"/>
    <w:multiLevelType w:val="hybridMultilevel"/>
    <w:tmpl w:val="447CA784"/>
    <w:lvl w:ilvl="0" w:tplc="EE46A6FA">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3784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A79"/>
    <w:rsid w:val="00000A79"/>
    <w:rsid w:val="00004E9B"/>
    <w:rsid w:val="00007455"/>
    <w:rsid w:val="00023821"/>
    <w:rsid w:val="00027131"/>
    <w:rsid w:val="00035512"/>
    <w:rsid w:val="00036F27"/>
    <w:rsid w:val="00047334"/>
    <w:rsid w:val="00054B72"/>
    <w:rsid w:val="00056191"/>
    <w:rsid w:val="00061D48"/>
    <w:rsid w:val="000634AF"/>
    <w:rsid w:val="0007410E"/>
    <w:rsid w:val="00074A5B"/>
    <w:rsid w:val="00081DD1"/>
    <w:rsid w:val="00084A54"/>
    <w:rsid w:val="00087A48"/>
    <w:rsid w:val="00090925"/>
    <w:rsid w:val="00092643"/>
    <w:rsid w:val="00093E8D"/>
    <w:rsid w:val="0009411E"/>
    <w:rsid w:val="0009640B"/>
    <w:rsid w:val="000B0229"/>
    <w:rsid w:val="000B109B"/>
    <w:rsid w:val="000B3F6D"/>
    <w:rsid w:val="000C052E"/>
    <w:rsid w:val="000C57F9"/>
    <w:rsid w:val="000D0D0B"/>
    <w:rsid w:val="000D2949"/>
    <w:rsid w:val="000D7DE1"/>
    <w:rsid w:val="000E0155"/>
    <w:rsid w:val="000E18D5"/>
    <w:rsid w:val="000E5CE1"/>
    <w:rsid w:val="000F4E06"/>
    <w:rsid w:val="000F54AB"/>
    <w:rsid w:val="000F6BC1"/>
    <w:rsid w:val="00102B60"/>
    <w:rsid w:val="00103691"/>
    <w:rsid w:val="001036AE"/>
    <w:rsid w:val="001040EA"/>
    <w:rsid w:val="0010592E"/>
    <w:rsid w:val="00111607"/>
    <w:rsid w:val="0011233D"/>
    <w:rsid w:val="00113F3F"/>
    <w:rsid w:val="001154D1"/>
    <w:rsid w:val="00130C89"/>
    <w:rsid w:val="001333AE"/>
    <w:rsid w:val="001352E8"/>
    <w:rsid w:val="00135CD8"/>
    <w:rsid w:val="00141CAB"/>
    <w:rsid w:val="001510C5"/>
    <w:rsid w:val="00154B3E"/>
    <w:rsid w:val="00156F5D"/>
    <w:rsid w:val="00164D37"/>
    <w:rsid w:val="00165AB7"/>
    <w:rsid w:val="00181BA2"/>
    <w:rsid w:val="001847C0"/>
    <w:rsid w:val="00195BD8"/>
    <w:rsid w:val="001A6224"/>
    <w:rsid w:val="001A677F"/>
    <w:rsid w:val="001B1CEA"/>
    <w:rsid w:val="001B23CC"/>
    <w:rsid w:val="001B5DA4"/>
    <w:rsid w:val="001B6E08"/>
    <w:rsid w:val="001C1FD8"/>
    <w:rsid w:val="001C2669"/>
    <w:rsid w:val="001C63FC"/>
    <w:rsid w:val="001C767E"/>
    <w:rsid w:val="001D0FF4"/>
    <w:rsid w:val="001E0928"/>
    <w:rsid w:val="001E1472"/>
    <w:rsid w:val="001E2E12"/>
    <w:rsid w:val="001F68D4"/>
    <w:rsid w:val="00207757"/>
    <w:rsid w:val="00213914"/>
    <w:rsid w:val="00216341"/>
    <w:rsid w:val="00223B61"/>
    <w:rsid w:val="00236EB2"/>
    <w:rsid w:val="002371C5"/>
    <w:rsid w:val="00242E30"/>
    <w:rsid w:val="00243C81"/>
    <w:rsid w:val="0024588F"/>
    <w:rsid w:val="00251B87"/>
    <w:rsid w:val="00251FAD"/>
    <w:rsid w:val="00252677"/>
    <w:rsid w:val="00261EA4"/>
    <w:rsid w:val="00262EE6"/>
    <w:rsid w:val="00267D84"/>
    <w:rsid w:val="002725FC"/>
    <w:rsid w:val="00274502"/>
    <w:rsid w:val="00276B53"/>
    <w:rsid w:val="00291311"/>
    <w:rsid w:val="002936FC"/>
    <w:rsid w:val="00294111"/>
    <w:rsid w:val="002A1303"/>
    <w:rsid w:val="002B221A"/>
    <w:rsid w:val="002B2FE7"/>
    <w:rsid w:val="002B4654"/>
    <w:rsid w:val="002B6B57"/>
    <w:rsid w:val="002C17B4"/>
    <w:rsid w:val="002C1BAB"/>
    <w:rsid w:val="002C67D8"/>
    <w:rsid w:val="002D24DF"/>
    <w:rsid w:val="002D5FC5"/>
    <w:rsid w:val="002D7899"/>
    <w:rsid w:val="002D7B95"/>
    <w:rsid w:val="002E2272"/>
    <w:rsid w:val="002E5796"/>
    <w:rsid w:val="002E5B29"/>
    <w:rsid w:val="002E66F7"/>
    <w:rsid w:val="002F0779"/>
    <w:rsid w:val="002F07F8"/>
    <w:rsid w:val="002F4BB1"/>
    <w:rsid w:val="002F5763"/>
    <w:rsid w:val="0030309F"/>
    <w:rsid w:val="00310DA6"/>
    <w:rsid w:val="00310F3E"/>
    <w:rsid w:val="003129B0"/>
    <w:rsid w:val="003134CE"/>
    <w:rsid w:val="003138DF"/>
    <w:rsid w:val="00314CD4"/>
    <w:rsid w:val="00314F2A"/>
    <w:rsid w:val="00315179"/>
    <w:rsid w:val="00332961"/>
    <w:rsid w:val="00334C4C"/>
    <w:rsid w:val="003356D4"/>
    <w:rsid w:val="00335750"/>
    <w:rsid w:val="0034448A"/>
    <w:rsid w:val="00344E7A"/>
    <w:rsid w:val="00345F2C"/>
    <w:rsid w:val="00346232"/>
    <w:rsid w:val="003463D6"/>
    <w:rsid w:val="00352726"/>
    <w:rsid w:val="003549D6"/>
    <w:rsid w:val="00364EC3"/>
    <w:rsid w:val="00372CBF"/>
    <w:rsid w:val="00375E0D"/>
    <w:rsid w:val="00376639"/>
    <w:rsid w:val="003836F4"/>
    <w:rsid w:val="0038548E"/>
    <w:rsid w:val="0038772F"/>
    <w:rsid w:val="00393FB8"/>
    <w:rsid w:val="0039461B"/>
    <w:rsid w:val="00394F5E"/>
    <w:rsid w:val="003A07CB"/>
    <w:rsid w:val="003A1E44"/>
    <w:rsid w:val="003A2312"/>
    <w:rsid w:val="003A367B"/>
    <w:rsid w:val="003A4121"/>
    <w:rsid w:val="003B4C69"/>
    <w:rsid w:val="003D05B2"/>
    <w:rsid w:val="003E48ED"/>
    <w:rsid w:val="003E5B47"/>
    <w:rsid w:val="003E5D77"/>
    <w:rsid w:val="003E72C7"/>
    <w:rsid w:val="003F0938"/>
    <w:rsid w:val="003F0A4A"/>
    <w:rsid w:val="003F4273"/>
    <w:rsid w:val="003F4F4C"/>
    <w:rsid w:val="003F725B"/>
    <w:rsid w:val="0040196D"/>
    <w:rsid w:val="00402949"/>
    <w:rsid w:val="00403836"/>
    <w:rsid w:val="00404EE2"/>
    <w:rsid w:val="004109C3"/>
    <w:rsid w:val="00412948"/>
    <w:rsid w:val="00412B7A"/>
    <w:rsid w:val="004137CA"/>
    <w:rsid w:val="004143C1"/>
    <w:rsid w:val="0041521B"/>
    <w:rsid w:val="00420619"/>
    <w:rsid w:val="00423601"/>
    <w:rsid w:val="0043662B"/>
    <w:rsid w:val="0044437E"/>
    <w:rsid w:val="00447ECE"/>
    <w:rsid w:val="0046084B"/>
    <w:rsid w:val="00462B52"/>
    <w:rsid w:val="00463C1E"/>
    <w:rsid w:val="0046487C"/>
    <w:rsid w:val="004701BC"/>
    <w:rsid w:val="0047425D"/>
    <w:rsid w:val="004762A7"/>
    <w:rsid w:val="004764C0"/>
    <w:rsid w:val="00476E71"/>
    <w:rsid w:val="00481DF0"/>
    <w:rsid w:val="00483BEB"/>
    <w:rsid w:val="00497EFB"/>
    <w:rsid w:val="004A0280"/>
    <w:rsid w:val="004A2E31"/>
    <w:rsid w:val="004A3A10"/>
    <w:rsid w:val="004A5624"/>
    <w:rsid w:val="004C1021"/>
    <w:rsid w:val="004D4BED"/>
    <w:rsid w:val="004E0DA3"/>
    <w:rsid w:val="004E7F61"/>
    <w:rsid w:val="004F60E5"/>
    <w:rsid w:val="00500CC1"/>
    <w:rsid w:val="00505DE0"/>
    <w:rsid w:val="00505EEA"/>
    <w:rsid w:val="0050669D"/>
    <w:rsid w:val="00510798"/>
    <w:rsid w:val="00512CD6"/>
    <w:rsid w:val="00512D5A"/>
    <w:rsid w:val="00514286"/>
    <w:rsid w:val="00521A2B"/>
    <w:rsid w:val="00525410"/>
    <w:rsid w:val="00530882"/>
    <w:rsid w:val="00533A3C"/>
    <w:rsid w:val="005402CF"/>
    <w:rsid w:val="00541CD2"/>
    <w:rsid w:val="0054268E"/>
    <w:rsid w:val="005514F6"/>
    <w:rsid w:val="005519C1"/>
    <w:rsid w:val="00557546"/>
    <w:rsid w:val="0055792C"/>
    <w:rsid w:val="00561158"/>
    <w:rsid w:val="005673BA"/>
    <w:rsid w:val="005727EC"/>
    <w:rsid w:val="005A3002"/>
    <w:rsid w:val="005A653A"/>
    <w:rsid w:val="005A6C6B"/>
    <w:rsid w:val="005B6E1E"/>
    <w:rsid w:val="005C1060"/>
    <w:rsid w:val="005C767F"/>
    <w:rsid w:val="005D5038"/>
    <w:rsid w:val="005E12CE"/>
    <w:rsid w:val="005E239B"/>
    <w:rsid w:val="005E7028"/>
    <w:rsid w:val="005F0A32"/>
    <w:rsid w:val="005F101C"/>
    <w:rsid w:val="005F2ECD"/>
    <w:rsid w:val="005F36D6"/>
    <w:rsid w:val="00602AF2"/>
    <w:rsid w:val="00604F17"/>
    <w:rsid w:val="00607EEE"/>
    <w:rsid w:val="00616492"/>
    <w:rsid w:val="006215C0"/>
    <w:rsid w:val="00643B6A"/>
    <w:rsid w:val="006477AE"/>
    <w:rsid w:val="006518D2"/>
    <w:rsid w:val="006522FF"/>
    <w:rsid w:val="00664890"/>
    <w:rsid w:val="00664B4A"/>
    <w:rsid w:val="00665139"/>
    <w:rsid w:val="00665B63"/>
    <w:rsid w:val="00666DFA"/>
    <w:rsid w:val="006679C2"/>
    <w:rsid w:val="00672919"/>
    <w:rsid w:val="00677599"/>
    <w:rsid w:val="0068275A"/>
    <w:rsid w:val="0068395A"/>
    <w:rsid w:val="006841FD"/>
    <w:rsid w:val="00687226"/>
    <w:rsid w:val="00691DFD"/>
    <w:rsid w:val="00696335"/>
    <w:rsid w:val="006A3D8F"/>
    <w:rsid w:val="006A5294"/>
    <w:rsid w:val="006A597E"/>
    <w:rsid w:val="006A6564"/>
    <w:rsid w:val="006B3576"/>
    <w:rsid w:val="006B7944"/>
    <w:rsid w:val="006C135D"/>
    <w:rsid w:val="006C162A"/>
    <w:rsid w:val="006C220E"/>
    <w:rsid w:val="006D166F"/>
    <w:rsid w:val="006D312A"/>
    <w:rsid w:val="006D7AD9"/>
    <w:rsid w:val="006E3990"/>
    <w:rsid w:val="006E3FC3"/>
    <w:rsid w:val="006E5083"/>
    <w:rsid w:val="006F2AB5"/>
    <w:rsid w:val="006F6E02"/>
    <w:rsid w:val="006F711E"/>
    <w:rsid w:val="00700297"/>
    <w:rsid w:val="00702D37"/>
    <w:rsid w:val="00702E98"/>
    <w:rsid w:val="00711834"/>
    <w:rsid w:val="007131D8"/>
    <w:rsid w:val="007147B6"/>
    <w:rsid w:val="00714AF1"/>
    <w:rsid w:val="00723BCF"/>
    <w:rsid w:val="007265BA"/>
    <w:rsid w:val="00727066"/>
    <w:rsid w:val="00733171"/>
    <w:rsid w:val="00733255"/>
    <w:rsid w:val="00733D49"/>
    <w:rsid w:val="007502AB"/>
    <w:rsid w:val="007505A4"/>
    <w:rsid w:val="00753166"/>
    <w:rsid w:val="00754201"/>
    <w:rsid w:val="00756D8E"/>
    <w:rsid w:val="007611F8"/>
    <w:rsid w:val="00762E62"/>
    <w:rsid w:val="00764B65"/>
    <w:rsid w:val="007670C4"/>
    <w:rsid w:val="00770E85"/>
    <w:rsid w:val="00772BEA"/>
    <w:rsid w:val="00774995"/>
    <w:rsid w:val="007778B7"/>
    <w:rsid w:val="0078011B"/>
    <w:rsid w:val="00781C04"/>
    <w:rsid w:val="00781E0B"/>
    <w:rsid w:val="0078202A"/>
    <w:rsid w:val="007820D1"/>
    <w:rsid w:val="00794AB0"/>
    <w:rsid w:val="007968F5"/>
    <w:rsid w:val="007975CE"/>
    <w:rsid w:val="00797A48"/>
    <w:rsid w:val="007A29C1"/>
    <w:rsid w:val="007A5278"/>
    <w:rsid w:val="007B176C"/>
    <w:rsid w:val="007B1838"/>
    <w:rsid w:val="007B23D2"/>
    <w:rsid w:val="007B5CCB"/>
    <w:rsid w:val="007C73F0"/>
    <w:rsid w:val="007D0CF9"/>
    <w:rsid w:val="007E590E"/>
    <w:rsid w:val="007F2875"/>
    <w:rsid w:val="007F3599"/>
    <w:rsid w:val="0080044E"/>
    <w:rsid w:val="00801EBE"/>
    <w:rsid w:val="008032F5"/>
    <w:rsid w:val="0081092D"/>
    <w:rsid w:val="0081750B"/>
    <w:rsid w:val="0081798F"/>
    <w:rsid w:val="00822A4E"/>
    <w:rsid w:val="0082552E"/>
    <w:rsid w:val="0082624A"/>
    <w:rsid w:val="00832850"/>
    <w:rsid w:val="00837585"/>
    <w:rsid w:val="00840C43"/>
    <w:rsid w:val="00842B45"/>
    <w:rsid w:val="0085406B"/>
    <w:rsid w:val="0085554A"/>
    <w:rsid w:val="0085558A"/>
    <w:rsid w:val="0086256C"/>
    <w:rsid w:val="00870B73"/>
    <w:rsid w:val="00874B77"/>
    <w:rsid w:val="00875F55"/>
    <w:rsid w:val="008800B6"/>
    <w:rsid w:val="00890D7B"/>
    <w:rsid w:val="008959CA"/>
    <w:rsid w:val="008C0919"/>
    <w:rsid w:val="008C178B"/>
    <w:rsid w:val="008C195A"/>
    <w:rsid w:val="008D38A7"/>
    <w:rsid w:val="008D6060"/>
    <w:rsid w:val="008E13AD"/>
    <w:rsid w:val="008E172F"/>
    <w:rsid w:val="008E3D39"/>
    <w:rsid w:val="008E7B3A"/>
    <w:rsid w:val="008F006E"/>
    <w:rsid w:val="008F5485"/>
    <w:rsid w:val="008F54DA"/>
    <w:rsid w:val="008F6E48"/>
    <w:rsid w:val="009024E3"/>
    <w:rsid w:val="00903D45"/>
    <w:rsid w:val="00905AFA"/>
    <w:rsid w:val="009122A8"/>
    <w:rsid w:val="00914156"/>
    <w:rsid w:val="009157EB"/>
    <w:rsid w:val="0091646E"/>
    <w:rsid w:val="009175E1"/>
    <w:rsid w:val="00935EAC"/>
    <w:rsid w:val="00936B9B"/>
    <w:rsid w:val="00942AF6"/>
    <w:rsid w:val="00942D4B"/>
    <w:rsid w:val="009479D6"/>
    <w:rsid w:val="00950124"/>
    <w:rsid w:val="0095044B"/>
    <w:rsid w:val="00952FB0"/>
    <w:rsid w:val="009549F8"/>
    <w:rsid w:val="00955D9C"/>
    <w:rsid w:val="0096784A"/>
    <w:rsid w:val="00970D0B"/>
    <w:rsid w:val="00972A93"/>
    <w:rsid w:val="009775F3"/>
    <w:rsid w:val="0099525E"/>
    <w:rsid w:val="009A19D2"/>
    <w:rsid w:val="009A4655"/>
    <w:rsid w:val="009A7C0E"/>
    <w:rsid w:val="009C1B57"/>
    <w:rsid w:val="009C3AF5"/>
    <w:rsid w:val="009C6842"/>
    <w:rsid w:val="009D2D38"/>
    <w:rsid w:val="009D40F2"/>
    <w:rsid w:val="009D488A"/>
    <w:rsid w:val="009D6CB8"/>
    <w:rsid w:val="009D747E"/>
    <w:rsid w:val="009E5E44"/>
    <w:rsid w:val="009F3465"/>
    <w:rsid w:val="00A041B8"/>
    <w:rsid w:val="00A209DB"/>
    <w:rsid w:val="00A31687"/>
    <w:rsid w:val="00A32B83"/>
    <w:rsid w:val="00A405DE"/>
    <w:rsid w:val="00A46BD2"/>
    <w:rsid w:val="00A50B13"/>
    <w:rsid w:val="00A51013"/>
    <w:rsid w:val="00A5125E"/>
    <w:rsid w:val="00A5283F"/>
    <w:rsid w:val="00A53AEE"/>
    <w:rsid w:val="00A5567C"/>
    <w:rsid w:val="00A60F02"/>
    <w:rsid w:val="00A64F65"/>
    <w:rsid w:val="00A67A7B"/>
    <w:rsid w:val="00A70587"/>
    <w:rsid w:val="00A77C63"/>
    <w:rsid w:val="00A80F09"/>
    <w:rsid w:val="00A812EE"/>
    <w:rsid w:val="00A82B16"/>
    <w:rsid w:val="00A82CE7"/>
    <w:rsid w:val="00A86494"/>
    <w:rsid w:val="00A9731F"/>
    <w:rsid w:val="00AA32EA"/>
    <w:rsid w:val="00AB0208"/>
    <w:rsid w:val="00AB0948"/>
    <w:rsid w:val="00AB124D"/>
    <w:rsid w:val="00AB734B"/>
    <w:rsid w:val="00AC6BF2"/>
    <w:rsid w:val="00AC77E2"/>
    <w:rsid w:val="00AD2593"/>
    <w:rsid w:val="00AD2666"/>
    <w:rsid w:val="00AD317E"/>
    <w:rsid w:val="00AD4FFA"/>
    <w:rsid w:val="00AD7708"/>
    <w:rsid w:val="00AE63D4"/>
    <w:rsid w:val="00AF057B"/>
    <w:rsid w:val="00AF2002"/>
    <w:rsid w:val="00AF2070"/>
    <w:rsid w:val="00AF2103"/>
    <w:rsid w:val="00AF3923"/>
    <w:rsid w:val="00AF422B"/>
    <w:rsid w:val="00AF442C"/>
    <w:rsid w:val="00AF4651"/>
    <w:rsid w:val="00AF6C18"/>
    <w:rsid w:val="00AF7386"/>
    <w:rsid w:val="00B07CC7"/>
    <w:rsid w:val="00B14F2A"/>
    <w:rsid w:val="00B15934"/>
    <w:rsid w:val="00B15FD9"/>
    <w:rsid w:val="00B21899"/>
    <w:rsid w:val="00B3400A"/>
    <w:rsid w:val="00B431E1"/>
    <w:rsid w:val="00B43762"/>
    <w:rsid w:val="00B45EA9"/>
    <w:rsid w:val="00B525D5"/>
    <w:rsid w:val="00B57218"/>
    <w:rsid w:val="00B57E29"/>
    <w:rsid w:val="00B6026E"/>
    <w:rsid w:val="00B60E29"/>
    <w:rsid w:val="00B644C6"/>
    <w:rsid w:val="00B67221"/>
    <w:rsid w:val="00B677AB"/>
    <w:rsid w:val="00B77C1A"/>
    <w:rsid w:val="00B81642"/>
    <w:rsid w:val="00B9372A"/>
    <w:rsid w:val="00B96DE9"/>
    <w:rsid w:val="00BA41C9"/>
    <w:rsid w:val="00BA4D68"/>
    <w:rsid w:val="00BB4633"/>
    <w:rsid w:val="00BB4CCC"/>
    <w:rsid w:val="00BB718B"/>
    <w:rsid w:val="00BC6A34"/>
    <w:rsid w:val="00BC7FB3"/>
    <w:rsid w:val="00BD1948"/>
    <w:rsid w:val="00BD3646"/>
    <w:rsid w:val="00BD3DB8"/>
    <w:rsid w:val="00BD4D0B"/>
    <w:rsid w:val="00BD5388"/>
    <w:rsid w:val="00BE2389"/>
    <w:rsid w:val="00BE4960"/>
    <w:rsid w:val="00BE6708"/>
    <w:rsid w:val="00BE6710"/>
    <w:rsid w:val="00BF0F6D"/>
    <w:rsid w:val="00BF164C"/>
    <w:rsid w:val="00BF317E"/>
    <w:rsid w:val="00BF3D82"/>
    <w:rsid w:val="00BF756A"/>
    <w:rsid w:val="00BF79E5"/>
    <w:rsid w:val="00C04BBE"/>
    <w:rsid w:val="00C05284"/>
    <w:rsid w:val="00C10D91"/>
    <w:rsid w:val="00C1150D"/>
    <w:rsid w:val="00C167D0"/>
    <w:rsid w:val="00C260BD"/>
    <w:rsid w:val="00C54E69"/>
    <w:rsid w:val="00C60676"/>
    <w:rsid w:val="00C64601"/>
    <w:rsid w:val="00C64ECA"/>
    <w:rsid w:val="00C70162"/>
    <w:rsid w:val="00C70501"/>
    <w:rsid w:val="00C74DFC"/>
    <w:rsid w:val="00C7585F"/>
    <w:rsid w:val="00C759FA"/>
    <w:rsid w:val="00C84D8F"/>
    <w:rsid w:val="00C90B03"/>
    <w:rsid w:val="00C90E90"/>
    <w:rsid w:val="00C91978"/>
    <w:rsid w:val="00C94D7D"/>
    <w:rsid w:val="00CA00F4"/>
    <w:rsid w:val="00CA1483"/>
    <w:rsid w:val="00CB0FEB"/>
    <w:rsid w:val="00CB31B7"/>
    <w:rsid w:val="00CB3FC6"/>
    <w:rsid w:val="00CB43D8"/>
    <w:rsid w:val="00CC7A8E"/>
    <w:rsid w:val="00CD3187"/>
    <w:rsid w:val="00CD4289"/>
    <w:rsid w:val="00CD6264"/>
    <w:rsid w:val="00CD77CE"/>
    <w:rsid w:val="00CE19FF"/>
    <w:rsid w:val="00CE3187"/>
    <w:rsid w:val="00CE40EA"/>
    <w:rsid w:val="00CF1639"/>
    <w:rsid w:val="00CF2385"/>
    <w:rsid w:val="00CF2F1A"/>
    <w:rsid w:val="00CF571F"/>
    <w:rsid w:val="00CF65D7"/>
    <w:rsid w:val="00CF7C02"/>
    <w:rsid w:val="00D0003C"/>
    <w:rsid w:val="00D01B88"/>
    <w:rsid w:val="00D0259B"/>
    <w:rsid w:val="00D02C0D"/>
    <w:rsid w:val="00D02FA1"/>
    <w:rsid w:val="00D0602C"/>
    <w:rsid w:val="00D0697A"/>
    <w:rsid w:val="00D130C7"/>
    <w:rsid w:val="00D13536"/>
    <w:rsid w:val="00D1529A"/>
    <w:rsid w:val="00D16F2F"/>
    <w:rsid w:val="00D24043"/>
    <w:rsid w:val="00D247A4"/>
    <w:rsid w:val="00D26BB0"/>
    <w:rsid w:val="00D3654E"/>
    <w:rsid w:val="00D46635"/>
    <w:rsid w:val="00D4765F"/>
    <w:rsid w:val="00D545D1"/>
    <w:rsid w:val="00D64984"/>
    <w:rsid w:val="00D66CB2"/>
    <w:rsid w:val="00D73D4E"/>
    <w:rsid w:val="00D916EF"/>
    <w:rsid w:val="00D91985"/>
    <w:rsid w:val="00D97D83"/>
    <w:rsid w:val="00DA5E23"/>
    <w:rsid w:val="00DB45AB"/>
    <w:rsid w:val="00DC0DC1"/>
    <w:rsid w:val="00DC1C36"/>
    <w:rsid w:val="00DC413B"/>
    <w:rsid w:val="00DC7339"/>
    <w:rsid w:val="00DD113B"/>
    <w:rsid w:val="00DD1A9B"/>
    <w:rsid w:val="00DD361D"/>
    <w:rsid w:val="00DD58AA"/>
    <w:rsid w:val="00DD755D"/>
    <w:rsid w:val="00DE4500"/>
    <w:rsid w:val="00DF269E"/>
    <w:rsid w:val="00DF795D"/>
    <w:rsid w:val="00E0124A"/>
    <w:rsid w:val="00E022B0"/>
    <w:rsid w:val="00E1027E"/>
    <w:rsid w:val="00E11FBC"/>
    <w:rsid w:val="00E1330B"/>
    <w:rsid w:val="00E21212"/>
    <w:rsid w:val="00E23B67"/>
    <w:rsid w:val="00E31061"/>
    <w:rsid w:val="00E32918"/>
    <w:rsid w:val="00E34025"/>
    <w:rsid w:val="00E52AAB"/>
    <w:rsid w:val="00E64ABB"/>
    <w:rsid w:val="00E664A7"/>
    <w:rsid w:val="00E70982"/>
    <w:rsid w:val="00E72909"/>
    <w:rsid w:val="00E75F06"/>
    <w:rsid w:val="00E8305E"/>
    <w:rsid w:val="00E86A00"/>
    <w:rsid w:val="00E93471"/>
    <w:rsid w:val="00EA3239"/>
    <w:rsid w:val="00EA3C38"/>
    <w:rsid w:val="00EA47DB"/>
    <w:rsid w:val="00EA6FCF"/>
    <w:rsid w:val="00EB2E2F"/>
    <w:rsid w:val="00EB3C3E"/>
    <w:rsid w:val="00EB439A"/>
    <w:rsid w:val="00EB6373"/>
    <w:rsid w:val="00EC4F5A"/>
    <w:rsid w:val="00EC63D3"/>
    <w:rsid w:val="00ED05F6"/>
    <w:rsid w:val="00ED0990"/>
    <w:rsid w:val="00ED6A46"/>
    <w:rsid w:val="00EE6172"/>
    <w:rsid w:val="00EF0462"/>
    <w:rsid w:val="00EF3DE2"/>
    <w:rsid w:val="00EF4518"/>
    <w:rsid w:val="00EF749C"/>
    <w:rsid w:val="00EF7DDF"/>
    <w:rsid w:val="00F12094"/>
    <w:rsid w:val="00F20CB8"/>
    <w:rsid w:val="00F20CC7"/>
    <w:rsid w:val="00F245E4"/>
    <w:rsid w:val="00F35CF3"/>
    <w:rsid w:val="00F407CA"/>
    <w:rsid w:val="00F40A23"/>
    <w:rsid w:val="00F415B9"/>
    <w:rsid w:val="00F50922"/>
    <w:rsid w:val="00F56B47"/>
    <w:rsid w:val="00F63D25"/>
    <w:rsid w:val="00F6693C"/>
    <w:rsid w:val="00F740E2"/>
    <w:rsid w:val="00F7797E"/>
    <w:rsid w:val="00F818F8"/>
    <w:rsid w:val="00F840D2"/>
    <w:rsid w:val="00F85085"/>
    <w:rsid w:val="00F86EA1"/>
    <w:rsid w:val="00F901FC"/>
    <w:rsid w:val="00F934BD"/>
    <w:rsid w:val="00F95552"/>
    <w:rsid w:val="00F95DBB"/>
    <w:rsid w:val="00F97AD5"/>
    <w:rsid w:val="00FA4CE0"/>
    <w:rsid w:val="00FB6274"/>
    <w:rsid w:val="00FC6B1A"/>
    <w:rsid w:val="00FD5896"/>
    <w:rsid w:val="00FE426C"/>
    <w:rsid w:val="00FE5842"/>
    <w:rsid w:val="00FF13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26642"/>
  <w15:chartTrackingRefBased/>
  <w15:docId w15:val="{0CA06533-D054-490B-A753-145A6B27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BEB"/>
    <w:pPr>
      <w:spacing w:before="120" w:after="120" w:line="360" w:lineRule="auto"/>
      <w:jc w:val="both"/>
    </w:pPr>
    <w:rPr>
      <w:rFonts w:ascii="Times New Roman" w:hAnsi="Times New Roman"/>
      <w:sz w:val="26"/>
    </w:rPr>
  </w:style>
  <w:style w:type="paragraph" w:styleId="Heading1">
    <w:name w:val="heading 1"/>
    <w:basedOn w:val="Normal"/>
    <w:next w:val="Normal"/>
    <w:link w:val="Heading1Char"/>
    <w:uiPriority w:val="9"/>
    <w:qFormat/>
    <w:rsid w:val="00C74DFC"/>
    <w:pPr>
      <w:keepNext/>
      <w:keepLines/>
      <w:spacing w:before="240" w:after="0"/>
      <w:jc w:val="left"/>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6BD2"/>
    <w:pPr>
      <w:keepNext/>
      <w:keepLines/>
      <w:spacing w:before="240" w:after="240"/>
      <w:outlineLvl w:val="1"/>
    </w:pPr>
    <w:rPr>
      <w:rFonts w:asciiTheme="majorHAnsi" w:eastAsiaTheme="majorEastAsia" w:hAnsiTheme="majorHAnsi" w:cstheme="majorBidi"/>
      <w:color w:val="2F5496" w:themeColor="accent1" w:themeShade="BF"/>
      <w:sz w:val="32"/>
      <w:szCs w:val="26"/>
    </w:rPr>
  </w:style>
  <w:style w:type="paragraph" w:styleId="Heading3">
    <w:name w:val="heading 3"/>
    <w:basedOn w:val="Normal"/>
    <w:next w:val="Normal"/>
    <w:link w:val="Heading3Char"/>
    <w:uiPriority w:val="9"/>
    <w:unhideWhenUsed/>
    <w:qFormat/>
    <w:rsid w:val="00A46BD2"/>
    <w:pPr>
      <w:keepNext/>
      <w:keepLines/>
      <w:outlineLvl w:val="2"/>
    </w:pPr>
    <w:rPr>
      <w:rFonts w:asciiTheme="majorHAnsi" w:eastAsiaTheme="majorEastAsia" w:hAnsiTheme="majorHAnsi" w:cstheme="majorBidi"/>
      <w:color w:val="1F3763" w:themeColor="accent1" w:themeShade="7F"/>
      <w:sz w:val="28"/>
      <w:szCs w:val="24"/>
    </w:rPr>
  </w:style>
  <w:style w:type="paragraph" w:styleId="Heading4">
    <w:name w:val="heading 4"/>
    <w:basedOn w:val="Normal"/>
    <w:next w:val="Normal"/>
    <w:link w:val="Heading4Char"/>
    <w:uiPriority w:val="9"/>
    <w:semiHidden/>
    <w:unhideWhenUsed/>
    <w:qFormat/>
    <w:rsid w:val="007F287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6BD2"/>
    <w:rPr>
      <w:rFonts w:asciiTheme="majorHAnsi" w:eastAsiaTheme="majorEastAsia" w:hAnsiTheme="majorHAnsi" w:cstheme="majorBidi"/>
      <w:color w:val="2F5496" w:themeColor="accent1" w:themeShade="BF"/>
      <w:sz w:val="32"/>
      <w:szCs w:val="26"/>
    </w:rPr>
  </w:style>
  <w:style w:type="character" w:customStyle="1" w:styleId="Heading3Char">
    <w:name w:val="Heading 3 Char"/>
    <w:basedOn w:val="DefaultParagraphFont"/>
    <w:link w:val="Heading3"/>
    <w:uiPriority w:val="9"/>
    <w:rsid w:val="00A46BD2"/>
    <w:rPr>
      <w:rFonts w:asciiTheme="majorHAnsi" w:eastAsiaTheme="majorEastAsia" w:hAnsiTheme="majorHAnsi" w:cstheme="majorBidi"/>
      <w:color w:val="1F3763" w:themeColor="accent1" w:themeShade="7F"/>
      <w:sz w:val="28"/>
      <w:szCs w:val="24"/>
    </w:rPr>
  </w:style>
  <w:style w:type="paragraph" w:styleId="ListParagraph">
    <w:name w:val="List Paragraph"/>
    <w:basedOn w:val="Normal"/>
    <w:uiPriority w:val="34"/>
    <w:qFormat/>
    <w:rsid w:val="00BB4633"/>
    <w:pPr>
      <w:ind w:left="720"/>
      <w:contextualSpacing/>
    </w:pPr>
  </w:style>
  <w:style w:type="character" w:customStyle="1" w:styleId="Heading1Char">
    <w:name w:val="Heading 1 Char"/>
    <w:basedOn w:val="DefaultParagraphFont"/>
    <w:link w:val="Heading1"/>
    <w:uiPriority w:val="9"/>
    <w:rsid w:val="00C74DF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093E8D"/>
    <w:pPr>
      <w:spacing w:before="100" w:beforeAutospacing="1" w:after="100" w:afterAutospacing="1" w:line="240" w:lineRule="auto"/>
    </w:pPr>
    <w:rPr>
      <w:rFonts w:eastAsia="Times New Roman" w:cs="Times New Roman"/>
      <w:sz w:val="24"/>
      <w:szCs w:val="24"/>
      <w:lang w:val="en-US"/>
    </w:rPr>
  </w:style>
  <w:style w:type="paragraph" w:styleId="Bibliography">
    <w:name w:val="Bibliography"/>
    <w:basedOn w:val="Normal"/>
    <w:next w:val="Normal"/>
    <w:uiPriority w:val="37"/>
    <w:unhideWhenUsed/>
    <w:rsid w:val="006215C0"/>
    <w:pPr>
      <w:spacing w:line="240" w:lineRule="auto"/>
      <w:ind w:left="720" w:hanging="720"/>
    </w:pPr>
    <w:rPr>
      <w:rFonts w:eastAsia="Times New Roman" w:cs="Times New Roman"/>
      <w:szCs w:val="24"/>
      <w:lang w:val="en-US"/>
    </w:rPr>
  </w:style>
  <w:style w:type="character" w:styleId="Emphasis">
    <w:name w:val="Emphasis"/>
    <w:basedOn w:val="DefaultParagraphFont"/>
    <w:uiPriority w:val="20"/>
    <w:qFormat/>
    <w:rsid w:val="00D16F2F"/>
    <w:rPr>
      <w:i/>
      <w:iCs/>
    </w:rPr>
  </w:style>
  <w:style w:type="character" w:styleId="Hyperlink">
    <w:name w:val="Hyperlink"/>
    <w:basedOn w:val="DefaultParagraphFont"/>
    <w:uiPriority w:val="99"/>
    <w:unhideWhenUsed/>
    <w:rsid w:val="00EB2E2F"/>
    <w:rPr>
      <w:color w:val="0000FF"/>
      <w:u w:val="single"/>
    </w:rPr>
  </w:style>
  <w:style w:type="character" w:customStyle="1" w:styleId="Heading4Char">
    <w:name w:val="Heading 4 Char"/>
    <w:basedOn w:val="DefaultParagraphFont"/>
    <w:link w:val="Heading4"/>
    <w:uiPriority w:val="9"/>
    <w:semiHidden/>
    <w:rsid w:val="007F2875"/>
    <w:rPr>
      <w:rFonts w:asciiTheme="majorHAnsi" w:eastAsiaTheme="majorEastAsia" w:hAnsiTheme="majorHAnsi" w:cstheme="majorBidi"/>
      <w:i/>
      <w:iCs/>
      <w:color w:val="2F5496" w:themeColor="accent1" w:themeShade="BF"/>
      <w:sz w:val="26"/>
    </w:rPr>
  </w:style>
  <w:style w:type="character" w:styleId="Strong">
    <w:name w:val="Strong"/>
    <w:basedOn w:val="DefaultParagraphFont"/>
    <w:uiPriority w:val="22"/>
    <w:qFormat/>
    <w:rsid w:val="007F2875"/>
    <w:rPr>
      <w:b/>
      <w:bCs/>
    </w:rPr>
  </w:style>
  <w:style w:type="character" w:styleId="UnresolvedMention">
    <w:name w:val="Unresolved Mention"/>
    <w:basedOn w:val="DefaultParagraphFont"/>
    <w:uiPriority w:val="99"/>
    <w:semiHidden/>
    <w:unhideWhenUsed/>
    <w:rsid w:val="004F60E5"/>
    <w:rPr>
      <w:color w:val="605E5C"/>
      <w:shd w:val="clear" w:color="auto" w:fill="E1DFDD"/>
    </w:rPr>
  </w:style>
  <w:style w:type="paragraph" w:customStyle="1" w:styleId="Text">
    <w:name w:val="Text"/>
    <w:basedOn w:val="Normal"/>
    <w:rsid w:val="00F56B47"/>
    <w:pPr>
      <w:spacing w:after="0" w:line="240" w:lineRule="auto"/>
    </w:pPr>
    <w:rPr>
      <w:rFonts w:eastAsia="Times New Roman" w:cs="Times New Roman"/>
      <w:sz w:val="24"/>
      <w:szCs w:val="24"/>
      <w:lang w:val="en-US" w:eastAsia="cs-CZ"/>
    </w:rPr>
  </w:style>
  <w:style w:type="paragraph" w:styleId="Header">
    <w:name w:val="header"/>
    <w:basedOn w:val="Normal"/>
    <w:link w:val="HeaderChar"/>
    <w:uiPriority w:val="99"/>
    <w:unhideWhenUsed/>
    <w:rsid w:val="001154D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154D1"/>
    <w:rPr>
      <w:rFonts w:ascii="Times New Roman" w:hAnsi="Times New Roman"/>
      <w:sz w:val="26"/>
    </w:rPr>
  </w:style>
  <w:style w:type="paragraph" w:styleId="Footer">
    <w:name w:val="footer"/>
    <w:basedOn w:val="Normal"/>
    <w:link w:val="FooterChar"/>
    <w:uiPriority w:val="99"/>
    <w:unhideWhenUsed/>
    <w:rsid w:val="001154D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154D1"/>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14961">
      <w:bodyDiv w:val="1"/>
      <w:marLeft w:val="0"/>
      <w:marRight w:val="0"/>
      <w:marTop w:val="0"/>
      <w:marBottom w:val="0"/>
      <w:divBdr>
        <w:top w:val="none" w:sz="0" w:space="0" w:color="auto"/>
        <w:left w:val="none" w:sz="0" w:space="0" w:color="auto"/>
        <w:bottom w:val="none" w:sz="0" w:space="0" w:color="auto"/>
        <w:right w:val="none" w:sz="0" w:space="0" w:color="auto"/>
      </w:divBdr>
    </w:div>
    <w:div w:id="294485958">
      <w:bodyDiv w:val="1"/>
      <w:marLeft w:val="0"/>
      <w:marRight w:val="0"/>
      <w:marTop w:val="0"/>
      <w:marBottom w:val="0"/>
      <w:divBdr>
        <w:top w:val="none" w:sz="0" w:space="0" w:color="auto"/>
        <w:left w:val="none" w:sz="0" w:space="0" w:color="auto"/>
        <w:bottom w:val="none" w:sz="0" w:space="0" w:color="auto"/>
        <w:right w:val="none" w:sz="0" w:space="0" w:color="auto"/>
      </w:divBdr>
    </w:div>
    <w:div w:id="651759491">
      <w:bodyDiv w:val="1"/>
      <w:marLeft w:val="0"/>
      <w:marRight w:val="0"/>
      <w:marTop w:val="0"/>
      <w:marBottom w:val="0"/>
      <w:divBdr>
        <w:top w:val="none" w:sz="0" w:space="0" w:color="auto"/>
        <w:left w:val="none" w:sz="0" w:space="0" w:color="auto"/>
        <w:bottom w:val="none" w:sz="0" w:space="0" w:color="auto"/>
        <w:right w:val="none" w:sz="0" w:space="0" w:color="auto"/>
      </w:divBdr>
      <w:divsChild>
        <w:div w:id="1631399980">
          <w:marLeft w:val="0"/>
          <w:marRight w:val="0"/>
          <w:marTop w:val="0"/>
          <w:marBottom w:val="0"/>
          <w:divBdr>
            <w:top w:val="none" w:sz="0" w:space="0" w:color="auto"/>
            <w:left w:val="none" w:sz="0" w:space="0" w:color="auto"/>
            <w:bottom w:val="none" w:sz="0" w:space="0" w:color="auto"/>
            <w:right w:val="none" w:sz="0" w:space="0" w:color="auto"/>
          </w:divBdr>
        </w:div>
      </w:divsChild>
    </w:div>
    <w:div w:id="698286454">
      <w:bodyDiv w:val="1"/>
      <w:marLeft w:val="0"/>
      <w:marRight w:val="0"/>
      <w:marTop w:val="0"/>
      <w:marBottom w:val="0"/>
      <w:divBdr>
        <w:top w:val="none" w:sz="0" w:space="0" w:color="auto"/>
        <w:left w:val="none" w:sz="0" w:space="0" w:color="auto"/>
        <w:bottom w:val="none" w:sz="0" w:space="0" w:color="auto"/>
        <w:right w:val="none" w:sz="0" w:space="0" w:color="auto"/>
      </w:divBdr>
      <w:divsChild>
        <w:div w:id="1201359808">
          <w:marLeft w:val="480"/>
          <w:marRight w:val="0"/>
          <w:marTop w:val="0"/>
          <w:marBottom w:val="0"/>
          <w:divBdr>
            <w:top w:val="none" w:sz="0" w:space="0" w:color="auto"/>
            <w:left w:val="none" w:sz="0" w:space="0" w:color="auto"/>
            <w:bottom w:val="none" w:sz="0" w:space="0" w:color="auto"/>
            <w:right w:val="none" w:sz="0" w:space="0" w:color="auto"/>
          </w:divBdr>
          <w:divsChild>
            <w:div w:id="187164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08875">
      <w:bodyDiv w:val="1"/>
      <w:marLeft w:val="0"/>
      <w:marRight w:val="0"/>
      <w:marTop w:val="0"/>
      <w:marBottom w:val="0"/>
      <w:divBdr>
        <w:top w:val="none" w:sz="0" w:space="0" w:color="auto"/>
        <w:left w:val="none" w:sz="0" w:space="0" w:color="auto"/>
        <w:bottom w:val="none" w:sz="0" w:space="0" w:color="auto"/>
        <w:right w:val="none" w:sz="0" w:space="0" w:color="auto"/>
      </w:divBdr>
    </w:div>
    <w:div w:id="1256133072">
      <w:bodyDiv w:val="1"/>
      <w:marLeft w:val="0"/>
      <w:marRight w:val="0"/>
      <w:marTop w:val="0"/>
      <w:marBottom w:val="0"/>
      <w:divBdr>
        <w:top w:val="none" w:sz="0" w:space="0" w:color="auto"/>
        <w:left w:val="none" w:sz="0" w:space="0" w:color="auto"/>
        <w:bottom w:val="none" w:sz="0" w:space="0" w:color="auto"/>
        <w:right w:val="none" w:sz="0" w:space="0" w:color="auto"/>
      </w:divBdr>
      <w:divsChild>
        <w:div w:id="1421025191">
          <w:marLeft w:val="0"/>
          <w:marRight w:val="0"/>
          <w:marTop w:val="0"/>
          <w:marBottom w:val="0"/>
          <w:divBdr>
            <w:top w:val="none" w:sz="0" w:space="0" w:color="auto"/>
            <w:left w:val="none" w:sz="0" w:space="0" w:color="auto"/>
            <w:bottom w:val="none" w:sz="0" w:space="0" w:color="auto"/>
            <w:right w:val="none" w:sz="0" w:space="0" w:color="auto"/>
          </w:divBdr>
          <w:divsChild>
            <w:div w:id="1895923069">
              <w:marLeft w:val="0"/>
              <w:marRight w:val="0"/>
              <w:marTop w:val="0"/>
              <w:marBottom w:val="0"/>
              <w:divBdr>
                <w:top w:val="none" w:sz="0" w:space="0" w:color="auto"/>
                <w:left w:val="none" w:sz="0" w:space="0" w:color="auto"/>
                <w:bottom w:val="none" w:sz="0" w:space="0" w:color="auto"/>
                <w:right w:val="none" w:sz="0" w:space="0" w:color="auto"/>
              </w:divBdr>
              <w:divsChild>
                <w:div w:id="15546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61540">
      <w:bodyDiv w:val="1"/>
      <w:marLeft w:val="0"/>
      <w:marRight w:val="0"/>
      <w:marTop w:val="0"/>
      <w:marBottom w:val="0"/>
      <w:divBdr>
        <w:top w:val="none" w:sz="0" w:space="0" w:color="auto"/>
        <w:left w:val="none" w:sz="0" w:space="0" w:color="auto"/>
        <w:bottom w:val="none" w:sz="0" w:space="0" w:color="auto"/>
        <w:right w:val="none" w:sz="0" w:space="0" w:color="auto"/>
      </w:divBdr>
      <w:divsChild>
        <w:div w:id="1034581072">
          <w:marLeft w:val="480"/>
          <w:marRight w:val="0"/>
          <w:marTop w:val="0"/>
          <w:marBottom w:val="0"/>
          <w:divBdr>
            <w:top w:val="none" w:sz="0" w:space="0" w:color="auto"/>
            <w:left w:val="none" w:sz="0" w:space="0" w:color="auto"/>
            <w:bottom w:val="none" w:sz="0" w:space="0" w:color="auto"/>
            <w:right w:val="none" w:sz="0" w:space="0" w:color="auto"/>
          </w:divBdr>
          <w:divsChild>
            <w:div w:id="148704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0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ivietnam.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A2840-BE0A-417C-8DA5-E8A1F174C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14</Pages>
  <Words>3548</Words>
  <Characters>20228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quan.ltt</dc:creator>
  <cp:keywords/>
  <dc:description/>
  <cp:lastModifiedBy>quan.ltt</cp:lastModifiedBy>
  <cp:revision>115</cp:revision>
  <dcterms:created xsi:type="dcterms:W3CDTF">2022-10-09T11:36:00Z</dcterms:created>
  <dcterms:modified xsi:type="dcterms:W3CDTF">2022-10-09T16:54:00Z</dcterms:modified>
</cp:coreProperties>
</file>